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78FDF7A9" w:rsidR="00A30A5A" w:rsidRPr="00192A01" w:rsidRDefault="00E835B5" w:rsidP="000B5B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tkinson Hyperlegible" w:hAnsi="Atkinson Hyperlegible"/>
        </w:rPr>
      </w:pPr>
      <w:r>
        <w:rPr>
          <w:rFonts w:ascii="Atkinson Hyperlegible" w:hAnsi="Atkinson Hyperlegib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029A0D5" wp14:editId="030E773F">
                <wp:simplePos x="0" y="0"/>
                <wp:positionH relativeFrom="margin">
                  <wp:posOffset>0</wp:posOffset>
                </wp:positionH>
                <wp:positionV relativeFrom="paragraph">
                  <wp:posOffset>973570</wp:posOffset>
                </wp:positionV>
                <wp:extent cx="6553200" cy="968375"/>
                <wp:effectExtent l="0" t="0" r="0" b="3175"/>
                <wp:wrapTight wrapText="bothSides">
                  <wp:wrapPolygon edited="0">
                    <wp:start x="63" y="0"/>
                    <wp:lineTo x="0" y="1275"/>
                    <wp:lineTo x="0" y="20396"/>
                    <wp:lineTo x="63" y="21246"/>
                    <wp:lineTo x="21474" y="21246"/>
                    <wp:lineTo x="21537" y="20396"/>
                    <wp:lineTo x="21537" y="425"/>
                    <wp:lineTo x="21474" y="0"/>
                    <wp:lineTo x="63" y="0"/>
                  </wp:wrapPolygon>
                </wp:wrapTight>
                <wp:docPr id="1774643661" name="Rektangel: afrundede hjørn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968375"/>
                        </a:xfrm>
                        <a:prstGeom prst="roundRect">
                          <a:avLst>
                            <a:gd name="adj" fmla="val 12190"/>
                          </a:avLst>
                        </a:prstGeom>
                        <a:solidFill>
                          <a:srgbClr val="E6F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0A1F5" w14:textId="39561AEA" w:rsidR="00192A01" w:rsidRPr="00192A01" w:rsidRDefault="00192A01" w:rsidP="00192A01">
                            <w:pPr>
                              <w:rPr>
                                <w:color w:val="001450"/>
                              </w:rPr>
                            </w:pPr>
                            <w:r w:rsidRPr="00192A01">
                              <w:rPr>
                                <w:rFonts w:ascii="Atkinson Hyperlegible" w:hAnsi="Atkinson Hyperlegible"/>
                                <w:color w:val="001450"/>
                                <w:sz w:val="24"/>
                                <w:szCs w:val="24"/>
                              </w:rPr>
                              <w:t>Udredning og behandling af symptomer på vitamin B12-mangel præges af mangel på konsensus både nationalt og internationalt. Det gør det svært at vurdere forekomst, risikofaktorer og behandlingsmuligheder. Dette ark præsenterer nogle generelle retningslinjer til brug i klinikken.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9A0D5" id="Rektangel: afrundede hjørner 1" o:spid="_x0000_s1026" style="position:absolute;margin-left:0;margin-top:76.65pt;width:516pt;height:76.25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" fillcolor="#e6f5ff" stroked="f" strokeweight="1pt">
                <v:stroke joinstyle="miter"/>
                <v:textbox>
                  <w:txbxContent>
                    <w:p w14:paraId="50B0A1F5" w14:textId="39561AEA" w:rsidR="00192A01" w:rsidRPr="00192A01" w:rsidRDefault="00192A01" w:rsidP="00192A01">
                      <w:pPr>
                        <w:rPr>
                          <w:color w:val="001450"/>
                        </w:rPr>
                      </w:pPr>
                      <w:r w:rsidRPr="00192A01">
                        <w:rPr>
                          <w:rFonts w:ascii="Atkinson Hyperlegible" w:hAnsi="Atkinson Hyperlegible"/>
                          <w:color w:val="001450"/>
                          <w:sz w:val="24"/>
                          <w:szCs w:val="24"/>
                        </w:rPr>
                        <w:t>Udredning og behandling af symptomer på vitamin B12-mangel præges af mangel på konsensus både nationalt og internationalt. Det gør det svært at vurdere forekomst, risikofaktorer og behandlingsmuligheder. Dette ark præsenterer nogle generelle retningslinjer til brug i klinikken.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0000">
        <w:rPr>
          <w:rFonts w:ascii="Atkinson Hyperlegible" w:hAnsi="Atkinson Hyperlegible" w:cs="Calibri Light"/>
          <w:color w:val="001450"/>
          <w:sz w:val="35"/>
          <w:szCs w:val="35"/>
        </w:rPr>
        <w:pict w14:anchorId="45C09E5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margin-left:0;margin-top:0;width:50pt;height:50pt;z-index:251657728;visibility:hidden;mso-position-horizontal-relative:text;mso-position-vertical-relative:text">
            <o:lock v:ext="edit" selection="t"/>
          </v:shape>
        </w:pict>
      </w:r>
      <w:r w:rsidR="00000000">
        <w:rPr>
          <w:rFonts w:ascii="Atkinson Hyperlegible" w:hAnsi="Atkinson Hyperlegible" w:cs="Calibri Light"/>
          <w:color w:val="001450"/>
          <w:sz w:val="35"/>
          <w:szCs w:val="35"/>
        </w:rPr>
        <w:pict w14:anchorId="09862FDE">
          <v:shape id="_x0000_s2051" type="#_x0000_t136" style="position:absolute;margin-left:0;margin-top:0;width:50pt;height:50pt;z-index:251658752;visibility:hidden;mso-position-horizontal-relative:text;mso-position-vertical-relative:text">
            <o:lock v:ext="edit" selection="t"/>
          </v:shape>
        </w:pict>
      </w:r>
      <w:r w:rsidR="00000000">
        <w:rPr>
          <w:rFonts w:ascii="Atkinson Hyperlegible" w:hAnsi="Atkinson Hyperlegible" w:cs="Calibri Light"/>
          <w:color w:val="001450"/>
          <w:sz w:val="35"/>
          <w:szCs w:val="35"/>
        </w:rPr>
        <w:pict w14:anchorId="6AADF044">
          <v:shape id="_x0000_s2053" type="#_x0000_t136" style="position:absolute;margin-left:0;margin-top:0;width:50pt;height:50pt;z-index:251656704;visibility:hidden;mso-position-horizontal-relative:text;mso-position-vertical-relative:text">
            <o:lock v:ext="edit" selection="t"/>
          </v:shape>
        </w:pict>
      </w:r>
      <w:r w:rsidR="00BD6EB1" w:rsidRPr="00192A01">
        <w:rPr>
          <w:rFonts w:ascii="Atkinson Hyperlegible" w:hAnsi="Atkinson Hyperlegible" w:cs="Calibri Light"/>
          <w:b/>
          <w:color w:val="001450"/>
          <w:sz w:val="35"/>
          <w:szCs w:val="35"/>
        </w:rPr>
        <w:t>FAQta-ark: Diagnostik og behandling af vitamin B12-mangel i almen praksis</w:t>
      </w:r>
      <w:r w:rsidR="00BD6EB1" w:rsidRPr="00192A01">
        <w:rPr>
          <w:rFonts w:ascii="Atkinson Hyperlegible" w:hAnsi="Atkinson Hyperlegible"/>
          <w:i/>
          <w:sz w:val="28"/>
          <w:szCs w:val="28"/>
        </w:rPr>
        <w:br/>
      </w:r>
      <w:r w:rsidR="00BD6EB1" w:rsidRPr="00192A01">
        <w:rPr>
          <w:rFonts w:ascii="Atkinson Hyperlegible" w:hAnsi="Atkinson Hyperlegible"/>
          <w:i/>
          <w:color w:val="001450"/>
          <w:sz w:val="28"/>
          <w:szCs w:val="28"/>
        </w:rPr>
        <w:t xml:space="preserve">Gælder ikke børn og gravide; de henvises til specialist </w:t>
      </w:r>
    </w:p>
    <w:p w14:paraId="76B319A3" w14:textId="02790D40" w:rsidR="007304A1" w:rsidRPr="00E835B5" w:rsidRDefault="007304A1">
      <w:pPr>
        <w:rPr>
          <w:rFonts w:ascii="Atkinson Hyperlegible" w:hAnsi="Atkinson Hyperlegible"/>
          <w:b/>
          <w:color w:val="2F5496"/>
          <w:sz w:val="12"/>
          <w:szCs w:val="12"/>
        </w:rPr>
      </w:pPr>
    </w:p>
    <w:p w14:paraId="00000005" w14:textId="0BFE158C" w:rsidR="00A30A5A" w:rsidRPr="00192A01" w:rsidRDefault="00BD6EB1">
      <w:pPr>
        <w:rPr>
          <w:rFonts w:ascii="Atkinson Hyperlegible" w:hAnsi="Atkinson Hyperlegible"/>
          <w:color w:val="001450"/>
          <w:sz w:val="24"/>
          <w:szCs w:val="24"/>
        </w:rPr>
      </w:pPr>
      <w:r w:rsidRPr="004A124C">
        <w:rPr>
          <w:rFonts w:ascii="Atkinson Hyperlegible" w:hAnsi="Atkinson Hyperlegible"/>
          <w:b/>
          <w:color w:val="001450"/>
          <w:sz w:val="28"/>
          <w:szCs w:val="28"/>
        </w:rPr>
        <w:t>Hovedbudskaber</w:t>
      </w:r>
      <w:r w:rsidRPr="00192A01">
        <w:rPr>
          <w:rFonts w:ascii="Atkinson Hyperlegible" w:hAnsi="Atkinson Hyperlegible"/>
          <w:b/>
          <w:color w:val="001450"/>
          <w:sz w:val="26"/>
          <w:szCs w:val="26"/>
        </w:rPr>
        <w:t xml:space="preserve">    </w:t>
      </w:r>
    </w:p>
    <w:p w14:paraId="00000006" w14:textId="77777777" w:rsidR="00A30A5A" w:rsidRPr="00192A01" w:rsidRDefault="00BD6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tkinson Hyperlegible" w:hAnsi="Atkinson Hyperlegible"/>
          <w:color w:val="1A1918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 xml:space="preserve">Vitamin B12;P (vitamin B12) måles på vide indikationer ved symptomer på vitamin B12-mangel. </w:t>
      </w:r>
    </w:p>
    <w:p w14:paraId="00000007" w14:textId="77777777" w:rsidR="00A30A5A" w:rsidRPr="00192A01" w:rsidRDefault="00BD6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tkinson Hyperlegible" w:hAnsi="Atkinson Hyperlegible"/>
          <w:color w:val="1A1918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>Som vedligeholdelsesbehandling kan peroral behandling med vitamin B12 anses for ligeværdig med og er billigere end injektionsbehandling.</w:t>
      </w:r>
    </w:p>
    <w:p w14:paraId="00000008" w14:textId="025F3987" w:rsidR="00A30A5A" w:rsidRPr="00192A01" w:rsidRDefault="00BD6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tkinson Hyperlegible" w:hAnsi="Atkinson Hyperlegible"/>
          <w:color w:val="1A1918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 xml:space="preserve">Vedvarende injektionsbehandling </w:t>
      </w:r>
      <w:r w:rsidR="00222819" w:rsidRPr="00192A01">
        <w:rPr>
          <w:rFonts w:ascii="Atkinson Hyperlegible" w:hAnsi="Atkinson Hyperlegible"/>
          <w:color w:val="1A1918"/>
          <w:sz w:val="24"/>
          <w:szCs w:val="24"/>
        </w:rPr>
        <w:t xml:space="preserve">kan </w:t>
      </w:r>
      <w:r w:rsidRPr="00192A01">
        <w:rPr>
          <w:rFonts w:ascii="Atkinson Hyperlegible" w:hAnsi="Atkinson Hyperlegible"/>
          <w:color w:val="1A1918"/>
          <w:sz w:val="24"/>
          <w:szCs w:val="24"/>
        </w:rPr>
        <w:t xml:space="preserve">tilpasses individuelt efter patientens symptomer. </w:t>
      </w:r>
    </w:p>
    <w:p w14:paraId="00000009" w14:textId="77777777" w:rsidR="00A30A5A" w:rsidRPr="00192A01" w:rsidRDefault="00BD6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tkinson Hyperlegible" w:hAnsi="Atkinson Hyperlegible"/>
          <w:color w:val="1A1918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>Kontrol af behandling er en klinisk vurdering; vitamin B12 skal ikke måles, når patienten er i behandling med vitamin B12.</w:t>
      </w:r>
    </w:p>
    <w:p w14:paraId="0000000A" w14:textId="77777777" w:rsidR="00A30A5A" w:rsidRPr="00192A01" w:rsidRDefault="00BD6E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tkinson Hyperlegible" w:hAnsi="Atkinson Hyperlegible"/>
          <w:color w:val="1A1918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>Seponering af vitamin B12 bør forsøges ved behandling, som er iværksat uden sikker diagnose.</w:t>
      </w:r>
    </w:p>
    <w:p w14:paraId="670B6522" w14:textId="051DEC7D" w:rsidR="00192A01" w:rsidRDefault="00BD6EB1" w:rsidP="004A12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tkinson Hyperlegible" w:hAnsi="Atkinson Hyperlegible"/>
          <w:color w:val="1A1918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>Symptomer og indikation for måling af vitamin B12 og behandlingsplan journalføres.</w:t>
      </w:r>
    </w:p>
    <w:p w14:paraId="50856E2E" w14:textId="77777777" w:rsidR="004A124C" w:rsidRPr="00345B05" w:rsidRDefault="004A124C" w:rsidP="00E835B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tkinson Hyperlegible" w:hAnsi="Atkinson Hyperlegible"/>
          <w:color w:val="1A1918"/>
          <w:sz w:val="24"/>
          <w:szCs w:val="24"/>
        </w:rPr>
      </w:pPr>
    </w:p>
    <w:p w14:paraId="0000000C" w14:textId="49F2FB21" w:rsidR="00A30A5A" w:rsidRPr="004A124C" w:rsidRDefault="00BD6EB1">
      <w:pPr>
        <w:rPr>
          <w:rFonts w:ascii="Atkinson Hyperlegible" w:hAnsi="Atkinson Hyperlegible"/>
          <w:b/>
          <w:color w:val="001450"/>
          <w:sz w:val="28"/>
          <w:szCs w:val="28"/>
        </w:rPr>
      </w:pPr>
      <w:r w:rsidRPr="004A124C">
        <w:rPr>
          <w:rFonts w:ascii="Atkinson Hyperlegible" w:hAnsi="Atkinson Hyperlegible"/>
          <w:b/>
          <w:color w:val="001450"/>
          <w:sz w:val="28"/>
          <w:szCs w:val="28"/>
        </w:rPr>
        <w:t>Hvornår måles vitamin B12 som led i udredning i almen praksis?</w:t>
      </w:r>
    </w:p>
    <w:p w14:paraId="0000000D" w14:textId="77777777" w:rsidR="00A30A5A" w:rsidRPr="00192A01" w:rsidRDefault="00BD6EB1">
      <w:pPr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 xml:space="preserve">Vitamin B12-mangel forekommer ved flere sygdomme og tilstande, og præsenterer sig ofte ved en række uspecifikke almene symptomer. </w:t>
      </w:r>
    </w:p>
    <w:p w14:paraId="0000000E" w14:textId="77777777" w:rsidR="00A30A5A" w:rsidRPr="00192A01" w:rsidRDefault="00BD6EB1">
      <w:pPr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>Vitamin B12-mangel skal særligt overvejes ved</w:t>
      </w:r>
    </w:p>
    <w:p w14:paraId="0000000F" w14:textId="77777777" w:rsidR="00A30A5A" w:rsidRPr="00192A01" w:rsidRDefault="00BD6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tkinson Hyperlegible" w:hAnsi="Atkinson Hyperlegible"/>
          <w:color w:val="1A1918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 xml:space="preserve">neurologiske symptomer (særligt paræstesier og ataxi) [1-3] </w:t>
      </w:r>
    </w:p>
    <w:p w14:paraId="00000010" w14:textId="77777777" w:rsidR="00A30A5A" w:rsidRPr="00192A01" w:rsidRDefault="00BD6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tkinson Hyperlegible" w:hAnsi="Atkinson Hyperlegible"/>
          <w:color w:val="1A1918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>neuropsykiatriske symptomer [4,5]</w:t>
      </w:r>
    </w:p>
    <w:p w14:paraId="00000011" w14:textId="77777777" w:rsidR="00A30A5A" w:rsidRPr="00192A01" w:rsidRDefault="00BD6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tkinson Hyperlegible" w:hAnsi="Atkinson Hyperlegible"/>
          <w:color w:val="1A1918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>makrocytose med og uden symptomer uafhængig af hæmoglobin niveau [6]</w:t>
      </w:r>
    </w:p>
    <w:p w14:paraId="00000012" w14:textId="77777777" w:rsidR="00A30A5A" w:rsidRPr="00192A01" w:rsidRDefault="00BD6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tkinson Hyperlegible" w:hAnsi="Atkinson Hyperlegible"/>
          <w:color w:val="1A1918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>symptomer, der kan skyldes utilstrækkeligt indtag hos risikogrupper, f.eks. veganere, patienter med anoreksi og ældre personer</w:t>
      </w:r>
    </w:p>
    <w:p w14:paraId="00000013" w14:textId="25C578AE" w:rsidR="00A30A5A" w:rsidRPr="00192A01" w:rsidRDefault="00BD6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tkinson Hyperlegible" w:hAnsi="Atkinson Hyperlegible"/>
          <w:color w:val="1A1918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>tilstande med symptomer på malabsorption, f.eks ved c</w:t>
      </w:r>
      <w:r w:rsidR="00260D5B">
        <w:rPr>
          <w:rFonts w:ascii="Atkinson Hyperlegible" w:hAnsi="Atkinson Hyperlegible"/>
          <w:color w:val="1A1918"/>
          <w:sz w:val="24"/>
          <w:szCs w:val="24"/>
        </w:rPr>
        <w:t>ø</w:t>
      </w:r>
      <w:r w:rsidRPr="00192A01">
        <w:rPr>
          <w:rFonts w:ascii="Atkinson Hyperlegible" w:hAnsi="Atkinson Hyperlegible"/>
          <w:color w:val="1A1918"/>
          <w:sz w:val="24"/>
          <w:szCs w:val="24"/>
        </w:rPr>
        <w:t xml:space="preserve">liaki, terminal ileitis, autoimmun atrofisk gastritis, ventrikelkræft, ventrikel-/tyndtarmsresektion og </w:t>
      </w:r>
      <w:r w:rsidRPr="00192A01">
        <w:rPr>
          <w:rFonts w:ascii="Atkinson Hyperlegible" w:hAnsi="Atkinson Hyperlegible"/>
          <w:color w:val="000000"/>
          <w:sz w:val="24"/>
          <w:szCs w:val="24"/>
        </w:rPr>
        <w:t>gastric bypass- eller gastric sleeve-operation</w:t>
      </w:r>
    </w:p>
    <w:p w14:paraId="00000014" w14:textId="77777777" w:rsidR="00A30A5A" w:rsidRPr="00192A01" w:rsidRDefault="00BD6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tkinson Hyperlegible" w:hAnsi="Atkinson Hyperlegible"/>
          <w:color w:val="1A1918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 xml:space="preserve">autoimmune sygdomme, f.eks. Graves' sygdom, thyreoiditis og vitiligo [7-8] </w:t>
      </w:r>
    </w:p>
    <w:p w14:paraId="00000015" w14:textId="77777777" w:rsidR="00A30A5A" w:rsidRPr="00192A01" w:rsidRDefault="00BD6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tkinson Hyperlegible" w:hAnsi="Atkinson Hyperlegible"/>
          <w:color w:val="1A1918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>symptomer ved kronisk misbrug af lattergas [9]</w:t>
      </w:r>
    </w:p>
    <w:p w14:paraId="00000016" w14:textId="77777777" w:rsidR="00A30A5A" w:rsidRPr="00192A01" w:rsidRDefault="00BD6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tkinson Hyperlegible" w:hAnsi="Atkinson Hyperlegible"/>
          <w:color w:val="1A1918"/>
          <w:sz w:val="24"/>
          <w:szCs w:val="24"/>
        </w:rPr>
      </w:pPr>
      <w:bookmarkStart w:id="0" w:name="_heading=h.gjdgxs" w:colFirst="0" w:colLast="0"/>
      <w:bookmarkEnd w:id="0"/>
      <w:r w:rsidRPr="00192A01">
        <w:rPr>
          <w:rFonts w:ascii="Atkinson Hyperlegible" w:hAnsi="Atkinson Hyperlegible"/>
          <w:color w:val="000000"/>
          <w:sz w:val="24"/>
          <w:szCs w:val="24"/>
        </w:rPr>
        <w:t xml:space="preserve">langvarig behandling med PPI hos patienter </w:t>
      </w:r>
      <w:r w:rsidRPr="00192A01">
        <w:rPr>
          <w:rFonts w:ascii="Atkinson Hyperlegible" w:hAnsi="Atkinson Hyperlegible"/>
          <w:color w:val="000000"/>
          <w:sz w:val="24"/>
          <w:szCs w:val="24"/>
          <w:u w:val="single"/>
        </w:rPr>
        <w:t>med</w:t>
      </w:r>
      <w:r w:rsidRPr="00192A01">
        <w:rPr>
          <w:rFonts w:ascii="Atkinson Hyperlegible" w:hAnsi="Atkinson Hyperlegible"/>
          <w:color w:val="000000"/>
          <w:sz w:val="24"/>
          <w:szCs w:val="24"/>
        </w:rPr>
        <w:t xml:space="preserve"> symptomer på vitamin B12-mangel [10]</w:t>
      </w:r>
    </w:p>
    <w:p w14:paraId="00000019" w14:textId="259AD61E" w:rsidR="00A30A5A" w:rsidRPr="004A124C" w:rsidRDefault="00BD6EB1" w:rsidP="004A1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tkinson Hyperlegible" w:hAnsi="Atkinson Hyperlegible"/>
          <w:color w:val="1A1918"/>
          <w:sz w:val="24"/>
          <w:szCs w:val="24"/>
        </w:rPr>
      </w:pPr>
      <w:r w:rsidRPr="00192A01">
        <w:rPr>
          <w:rFonts w:ascii="Atkinson Hyperlegible" w:hAnsi="Atkinson Hyperlegible"/>
          <w:color w:val="1A1918"/>
          <w:sz w:val="24"/>
          <w:szCs w:val="24"/>
        </w:rPr>
        <w:t>patienter i metforminbehandling. Tilrådes kontrolleret mindst hvert 2. år</w:t>
      </w:r>
      <w:r w:rsidRPr="00192A01">
        <w:rPr>
          <w:rFonts w:ascii="Atkinson Hyperlegible" w:hAnsi="Atkinson Hyperlegible"/>
          <w:color w:val="000000"/>
          <w:sz w:val="24"/>
          <w:szCs w:val="24"/>
        </w:rPr>
        <w:t xml:space="preserve"> [11].</w:t>
      </w:r>
    </w:p>
    <w:p w14:paraId="0000001A" w14:textId="77777777" w:rsidR="00A30A5A" w:rsidRPr="004A124C" w:rsidRDefault="00BD6EB1">
      <w:pPr>
        <w:rPr>
          <w:rFonts w:ascii="Atkinson Hyperlegible" w:hAnsi="Atkinson Hyperlegible"/>
          <w:b/>
          <w:color w:val="001450"/>
          <w:sz w:val="28"/>
          <w:szCs w:val="28"/>
        </w:rPr>
      </w:pPr>
      <w:r w:rsidRPr="004A124C">
        <w:rPr>
          <w:rFonts w:ascii="Atkinson Hyperlegible" w:hAnsi="Atkinson Hyperlegible"/>
          <w:b/>
          <w:color w:val="001450"/>
          <w:sz w:val="28"/>
          <w:szCs w:val="28"/>
        </w:rPr>
        <w:lastRenderedPageBreak/>
        <w:t>Hvordan diagnosticeres vitamin B12-mangel hos voksne?</w:t>
      </w:r>
    </w:p>
    <w:p w14:paraId="0000001B" w14:textId="77777777" w:rsidR="00A30A5A" w:rsidRPr="00192A01" w:rsidRDefault="00BD6EB1">
      <w:pPr>
        <w:spacing w:after="0"/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b/>
          <w:sz w:val="24"/>
          <w:szCs w:val="24"/>
        </w:rPr>
        <w:t>Niveau af vitamin B12</w:t>
      </w:r>
    </w:p>
    <w:p w14:paraId="0000001C" w14:textId="74EEC7C3" w:rsidR="00A30A5A" w:rsidRPr="00192A01" w:rsidRDefault="00BD6EB1">
      <w:pPr>
        <w:spacing w:after="0"/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sz w:val="24"/>
          <w:szCs w:val="24"/>
        </w:rPr>
        <w:t>≤ 125 pmol/L:</w:t>
      </w:r>
      <w:r w:rsidRPr="00192A01">
        <w:rPr>
          <w:rFonts w:ascii="Atkinson Hyperlegible" w:hAnsi="Atkinson Hyperlegible"/>
          <w:sz w:val="24"/>
          <w:szCs w:val="24"/>
        </w:rPr>
        <w:tab/>
      </w:r>
      <w:r w:rsidRPr="00192A01">
        <w:rPr>
          <w:rFonts w:ascii="Atkinson Hyperlegible" w:hAnsi="Atkinson Hyperlegible"/>
          <w:sz w:val="24"/>
          <w:szCs w:val="24"/>
        </w:rPr>
        <w:tab/>
      </w:r>
      <w:r w:rsidRPr="00192A01">
        <w:rPr>
          <w:rFonts w:ascii="Atkinson Hyperlegible" w:hAnsi="Atkinson Hyperlegible"/>
          <w:sz w:val="24"/>
          <w:szCs w:val="24"/>
        </w:rPr>
        <w:tab/>
      </w:r>
      <w:r w:rsidRPr="00192A01">
        <w:rPr>
          <w:rFonts w:ascii="Atkinson Hyperlegible" w:hAnsi="Atkinson Hyperlegible"/>
          <w:sz w:val="24"/>
          <w:szCs w:val="24"/>
        </w:rPr>
        <w:tab/>
      </w:r>
      <w:r w:rsidRPr="00192A01">
        <w:rPr>
          <w:rFonts w:ascii="Atkinson Hyperlegible" w:hAnsi="Atkinson Hyperlegible"/>
          <w:sz w:val="24"/>
          <w:szCs w:val="24"/>
        </w:rPr>
        <w:tab/>
        <w:t>vitamin B12-mangel sandsynlig</w:t>
      </w:r>
    </w:p>
    <w:p w14:paraId="0000001D" w14:textId="19FE4AEA" w:rsidR="00A30A5A" w:rsidRPr="00192A01" w:rsidRDefault="00BD6EB1">
      <w:pPr>
        <w:spacing w:after="0"/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sz w:val="24"/>
          <w:szCs w:val="24"/>
        </w:rPr>
        <w:t>&gt; 250 pmol/L:</w:t>
      </w:r>
      <w:r w:rsidRPr="00192A01">
        <w:rPr>
          <w:rFonts w:ascii="Atkinson Hyperlegible" w:hAnsi="Atkinson Hyperlegible"/>
          <w:sz w:val="24"/>
          <w:szCs w:val="24"/>
        </w:rPr>
        <w:tab/>
      </w:r>
      <w:r w:rsidRPr="00192A01">
        <w:rPr>
          <w:rFonts w:ascii="Atkinson Hyperlegible" w:hAnsi="Atkinson Hyperlegible"/>
          <w:sz w:val="24"/>
          <w:szCs w:val="24"/>
        </w:rPr>
        <w:tab/>
      </w:r>
      <w:r w:rsidRPr="00192A01">
        <w:rPr>
          <w:rFonts w:ascii="Atkinson Hyperlegible" w:hAnsi="Atkinson Hyperlegible"/>
          <w:sz w:val="24"/>
          <w:szCs w:val="24"/>
        </w:rPr>
        <w:tab/>
      </w:r>
      <w:r w:rsidR="00260D5B">
        <w:rPr>
          <w:rFonts w:ascii="Atkinson Hyperlegible" w:hAnsi="Atkinson Hyperlegible"/>
          <w:sz w:val="24"/>
          <w:szCs w:val="24"/>
        </w:rPr>
        <w:tab/>
      </w:r>
      <w:r w:rsidRPr="00192A01">
        <w:rPr>
          <w:rFonts w:ascii="Atkinson Hyperlegible" w:hAnsi="Atkinson Hyperlegible"/>
          <w:sz w:val="24"/>
          <w:szCs w:val="24"/>
        </w:rPr>
        <w:t>vitamin B12-mangel ikke sandsynlig</w:t>
      </w:r>
    </w:p>
    <w:p w14:paraId="0000001E" w14:textId="421DBDF9" w:rsidR="00A30A5A" w:rsidRPr="00192A01" w:rsidRDefault="00BD6EB1">
      <w:pPr>
        <w:spacing w:after="0"/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sz w:val="24"/>
          <w:szCs w:val="24"/>
        </w:rPr>
        <w:t xml:space="preserve">125–250 pmol/L </w:t>
      </w:r>
      <w:r w:rsidRPr="00192A01">
        <w:rPr>
          <w:rFonts w:ascii="Atkinson Hyperlegible" w:hAnsi="Atkinson Hyperlegible"/>
          <w:sz w:val="24"/>
          <w:szCs w:val="24"/>
          <w:u w:val="single"/>
        </w:rPr>
        <w:t>med</w:t>
      </w:r>
      <w:r w:rsidRPr="00192A01">
        <w:rPr>
          <w:rFonts w:ascii="Atkinson Hyperlegible" w:hAnsi="Atkinson Hyperlegible"/>
          <w:sz w:val="24"/>
          <w:szCs w:val="24"/>
        </w:rPr>
        <w:t xml:space="preserve"> klare symptomer:</w:t>
      </w:r>
      <w:r w:rsidRPr="00192A01">
        <w:rPr>
          <w:rFonts w:ascii="Atkinson Hyperlegible" w:hAnsi="Atkinson Hyperlegible"/>
          <w:sz w:val="24"/>
          <w:szCs w:val="24"/>
        </w:rPr>
        <w:tab/>
        <w:t>vitamin B12-mangel sandsynlig</w:t>
      </w:r>
    </w:p>
    <w:p w14:paraId="0000001F" w14:textId="77777777" w:rsidR="00A30A5A" w:rsidRPr="00192A01" w:rsidRDefault="00BD6EB1">
      <w:pPr>
        <w:spacing w:after="0"/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sz w:val="24"/>
          <w:szCs w:val="24"/>
        </w:rPr>
        <w:t xml:space="preserve">125–250 pmol/L </w:t>
      </w:r>
      <w:r w:rsidRPr="00192A01">
        <w:rPr>
          <w:rFonts w:ascii="Atkinson Hyperlegible" w:hAnsi="Atkinson Hyperlegible"/>
          <w:sz w:val="24"/>
          <w:szCs w:val="24"/>
          <w:u w:val="single"/>
        </w:rPr>
        <w:t>uden eller med uklare</w:t>
      </w:r>
      <w:r w:rsidRPr="00192A01">
        <w:rPr>
          <w:rFonts w:ascii="Atkinson Hyperlegible" w:hAnsi="Atkinson Hyperlegible"/>
          <w:sz w:val="24"/>
          <w:szCs w:val="24"/>
        </w:rPr>
        <w:t xml:space="preserve"> symptomer: Metylmalonat (P-MMA) måles  </w:t>
      </w:r>
    </w:p>
    <w:p w14:paraId="00000020" w14:textId="77777777" w:rsidR="00A30A5A" w:rsidRPr="00192A01" w:rsidRDefault="00BD6EB1">
      <w:pPr>
        <w:spacing w:after="0"/>
        <w:rPr>
          <w:rFonts w:ascii="Atkinson Hyperlegible" w:hAnsi="Atkinson Hyperlegible"/>
          <w:i/>
          <w:sz w:val="24"/>
          <w:szCs w:val="24"/>
        </w:rPr>
      </w:pPr>
      <w:r w:rsidRPr="00192A01">
        <w:rPr>
          <w:rFonts w:ascii="Atkinson Hyperlegible" w:hAnsi="Atkinson Hyperlegible"/>
          <w:i/>
          <w:sz w:val="24"/>
          <w:szCs w:val="24"/>
        </w:rPr>
        <w:t>MMA over øvre grænse for referenceinterval: vitamin B12-mangel sandsynlig</w:t>
      </w:r>
    </w:p>
    <w:p w14:paraId="00000021" w14:textId="77777777" w:rsidR="00A30A5A" w:rsidRPr="00192A01" w:rsidRDefault="00BD6EB1">
      <w:pPr>
        <w:spacing w:after="0"/>
        <w:rPr>
          <w:rFonts w:ascii="Atkinson Hyperlegible" w:hAnsi="Atkinson Hyperlegible"/>
          <w:i/>
          <w:sz w:val="24"/>
          <w:szCs w:val="24"/>
        </w:rPr>
      </w:pPr>
      <w:r w:rsidRPr="00192A01">
        <w:rPr>
          <w:rFonts w:ascii="Atkinson Hyperlegible" w:hAnsi="Atkinson Hyperlegible"/>
          <w:i/>
          <w:sz w:val="24"/>
          <w:szCs w:val="24"/>
        </w:rPr>
        <w:t>MMA under nedre grænse for referenceinterval: vitamin B12-mangel ikke sandsynlig.</w:t>
      </w:r>
    </w:p>
    <w:p w14:paraId="00000022" w14:textId="77777777" w:rsidR="00A30A5A" w:rsidRPr="00192A01" w:rsidRDefault="00BD6EB1">
      <w:pPr>
        <w:spacing w:after="0"/>
        <w:rPr>
          <w:rFonts w:ascii="Atkinson Hyperlegible" w:hAnsi="Atkinson Hyperlegible"/>
          <w:i/>
          <w:sz w:val="24"/>
          <w:szCs w:val="24"/>
        </w:rPr>
      </w:pPr>
      <w:r w:rsidRPr="00192A01">
        <w:rPr>
          <w:rFonts w:ascii="Atkinson Hyperlegible" w:hAnsi="Atkinson Hyperlegible"/>
          <w:i/>
          <w:sz w:val="24"/>
          <w:szCs w:val="24"/>
        </w:rPr>
        <w:t>MMA kan være forhøjet ved nedsat nyrefunktion.</w:t>
      </w:r>
    </w:p>
    <w:p w14:paraId="00000023" w14:textId="77777777" w:rsidR="00A30A5A" w:rsidRPr="00192A01" w:rsidRDefault="00A30A5A">
      <w:pPr>
        <w:spacing w:after="0"/>
        <w:rPr>
          <w:rFonts w:ascii="Atkinson Hyperlegible" w:hAnsi="Atkinson Hyperlegible"/>
          <w:sz w:val="24"/>
          <w:szCs w:val="24"/>
        </w:rPr>
      </w:pPr>
    </w:p>
    <w:p w14:paraId="00000024" w14:textId="77777777" w:rsidR="00A30A5A" w:rsidRPr="00192A01" w:rsidRDefault="00BD6EB1">
      <w:pPr>
        <w:spacing w:after="0"/>
        <w:rPr>
          <w:rFonts w:ascii="Atkinson Hyperlegible" w:hAnsi="Atkinson Hyperlegible"/>
          <w:b/>
          <w:sz w:val="24"/>
          <w:szCs w:val="24"/>
        </w:rPr>
      </w:pPr>
      <w:r w:rsidRPr="00192A01">
        <w:rPr>
          <w:rFonts w:ascii="Atkinson Hyperlegible" w:hAnsi="Atkinson Hyperlegible"/>
          <w:b/>
          <w:sz w:val="24"/>
          <w:szCs w:val="24"/>
        </w:rPr>
        <w:t xml:space="preserve">Årsag til vitamin B12-mangel </w:t>
      </w:r>
    </w:p>
    <w:p w14:paraId="00000025" w14:textId="77777777" w:rsidR="00A30A5A" w:rsidRPr="00192A01" w:rsidRDefault="00BD6EB1">
      <w:pPr>
        <w:spacing w:after="0"/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sz w:val="24"/>
          <w:szCs w:val="24"/>
        </w:rPr>
        <w:t xml:space="preserve">Anamnesen kan ofte afgøre, om vitamin B12-mangel skyldes utilstrækkeligt indtag eller manglende evne til at optage vitamin B12, f.eks. hos veganere og ældre patienter, sygdomme i ventrikel eller terminale ileum, gastric bypass- eller gastric sleeve-operation eller medicin. </w:t>
      </w:r>
    </w:p>
    <w:p w14:paraId="00000026" w14:textId="77777777" w:rsidR="00A30A5A" w:rsidRPr="00192A01" w:rsidRDefault="00BD6EB1">
      <w:pPr>
        <w:spacing w:after="0"/>
        <w:rPr>
          <w:rFonts w:ascii="Atkinson Hyperlegible" w:hAnsi="Atkinson Hyperlegible"/>
          <w:sz w:val="24"/>
          <w:szCs w:val="24"/>
        </w:rPr>
      </w:pPr>
      <w:bookmarkStart w:id="1" w:name="_heading=h.30j0zll" w:colFirst="0" w:colLast="0"/>
      <w:bookmarkEnd w:id="1"/>
      <w:r w:rsidRPr="00192A01">
        <w:rPr>
          <w:rFonts w:ascii="Atkinson Hyperlegible" w:hAnsi="Atkinson Hyperlegible"/>
          <w:sz w:val="24"/>
          <w:szCs w:val="24"/>
        </w:rPr>
        <w:t>Hvis anamnesen ikke kan forklare årsagen til vitamin B12-manglen, må udredning for autoimmun atrofisk gastrit foretages, idet der her er øget risiko for gastrisk malignitet [12]. Autoantistoffer måles: Intrinsic faktor-IgG og Parietalcelle-IgG (PCA). Ved positivt resultat af en eller begge, konfereres med eller henvises til lokal medicinsk gastroenterolog.</w:t>
      </w:r>
    </w:p>
    <w:p w14:paraId="00000027" w14:textId="77777777" w:rsidR="00A30A5A" w:rsidRPr="00192A01" w:rsidRDefault="00A30A5A">
      <w:pPr>
        <w:spacing w:after="0"/>
        <w:rPr>
          <w:rFonts w:ascii="Atkinson Hyperlegible" w:hAnsi="Atkinson Hyperlegible"/>
          <w:sz w:val="24"/>
          <w:szCs w:val="24"/>
        </w:rPr>
      </w:pPr>
    </w:p>
    <w:p w14:paraId="00000028" w14:textId="77777777" w:rsidR="00A30A5A" w:rsidRPr="00192A01" w:rsidRDefault="00BD6EB1">
      <w:pPr>
        <w:rPr>
          <w:rFonts w:ascii="Atkinson Hyperlegible" w:hAnsi="Atkinson Hyperlegible"/>
          <w:color w:val="2F5496"/>
          <w:sz w:val="26"/>
          <w:szCs w:val="26"/>
        </w:rPr>
      </w:pPr>
      <w:r w:rsidRPr="00192A01">
        <w:rPr>
          <w:rFonts w:ascii="Atkinson Hyperlegible" w:hAnsi="Atkinson Hyperlegible"/>
        </w:rPr>
        <w:br w:type="page"/>
      </w:r>
    </w:p>
    <w:p w14:paraId="46558AD8" w14:textId="5ABC6AF1" w:rsidR="004A124C" w:rsidRPr="004A124C" w:rsidRDefault="00BD6EB1" w:rsidP="004A124C">
      <w:pPr>
        <w:pStyle w:val="Overskrift2"/>
        <w:rPr>
          <w:rFonts w:ascii="Atkinson Hyperlegible" w:hAnsi="Atkinson Hyperlegible"/>
          <w:b/>
          <w:color w:val="001450"/>
          <w:sz w:val="28"/>
          <w:szCs w:val="28"/>
        </w:rPr>
      </w:pPr>
      <w:r w:rsidRPr="004A124C">
        <w:rPr>
          <w:rFonts w:ascii="Atkinson Hyperlegible" w:hAnsi="Atkinson Hyperlegible"/>
          <w:b/>
          <w:color w:val="001450"/>
          <w:sz w:val="28"/>
          <w:szCs w:val="28"/>
        </w:rPr>
        <w:lastRenderedPageBreak/>
        <w:t>Hvordan behandles patienter med vitamin B12-mangel?</w:t>
      </w:r>
    </w:p>
    <w:tbl>
      <w:tblPr>
        <w:tblStyle w:val="a0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6004"/>
        <w:gridCol w:w="4766"/>
      </w:tblGrid>
      <w:tr w:rsidR="00A30A5A" w:rsidRPr="00192A01" w14:paraId="7318B385" w14:textId="77777777" w:rsidTr="00260D5B">
        <w:trPr>
          <w:trHeight w:val="270"/>
        </w:trPr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1450"/>
          </w:tcPr>
          <w:p w14:paraId="0000002B" w14:textId="77777777" w:rsidR="00A30A5A" w:rsidRPr="00192A01" w:rsidRDefault="00000000">
            <w:pPr>
              <w:rPr>
                <w:rFonts w:ascii="Atkinson Hyperlegible" w:hAnsi="Atkinson Hyperlegible"/>
                <w:b/>
                <w:sz w:val="24"/>
                <w:szCs w:val="24"/>
              </w:rPr>
            </w:pPr>
            <w:sdt>
              <w:sdtPr>
                <w:rPr>
                  <w:rFonts w:ascii="Atkinson Hyperlegible" w:hAnsi="Atkinson Hyperlegible"/>
                </w:rPr>
                <w:tag w:val="goog_rdk_0"/>
                <w:id w:val="-1048902981"/>
              </w:sdtPr>
              <w:sdtContent/>
            </w:sdt>
            <w:sdt>
              <w:sdtPr>
                <w:rPr>
                  <w:rFonts w:ascii="Atkinson Hyperlegible" w:hAnsi="Atkinson Hyperlegible"/>
                </w:rPr>
                <w:tag w:val="goog_rdk_1"/>
                <w:id w:val="267974177"/>
              </w:sdtPr>
              <w:sdtContent/>
            </w:sdt>
            <w:r w:rsidR="00BD6EB1" w:rsidRPr="00192A01">
              <w:rPr>
                <w:rFonts w:ascii="Atkinson Hyperlegible" w:hAnsi="Atkinson Hyperlegible"/>
                <w:b/>
                <w:sz w:val="24"/>
                <w:szCs w:val="24"/>
              </w:rPr>
              <w:t>Patienter med symptomer</w:t>
            </w: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1450"/>
          </w:tcPr>
          <w:p w14:paraId="0000002C" w14:textId="77777777" w:rsidR="00A30A5A" w:rsidRPr="00192A01" w:rsidRDefault="00BD6EB1">
            <w:pPr>
              <w:rPr>
                <w:rFonts w:ascii="Atkinson Hyperlegible" w:hAnsi="Atkinson Hyperlegible"/>
                <w:b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b/>
                <w:sz w:val="24"/>
                <w:szCs w:val="24"/>
              </w:rPr>
              <w:t>Patienter uden symptomer</w:t>
            </w:r>
          </w:p>
        </w:tc>
      </w:tr>
      <w:tr w:rsidR="00A30A5A" w:rsidRPr="00192A01" w14:paraId="15ABDE72" w14:textId="77777777" w:rsidTr="00260D5B">
        <w:trPr>
          <w:trHeight w:val="300"/>
        </w:trPr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6F5FF"/>
          </w:tcPr>
          <w:p w14:paraId="0000002E" w14:textId="3DC30443" w:rsidR="00A30A5A" w:rsidRPr="00192A01" w:rsidRDefault="00BD6EB1">
            <w:pPr>
              <w:rPr>
                <w:rFonts w:ascii="Atkinson Hyperlegible" w:hAnsi="Atkinson Hyperlegible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i/>
                <w:sz w:val="24"/>
                <w:szCs w:val="24"/>
              </w:rPr>
              <w:t>Initialbehandling</w:t>
            </w:r>
            <w:r w:rsidRPr="00192A01">
              <w:rPr>
                <w:rFonts w:ascii="Atkinson Hyperlegible" w:hAnsi="Atkinson Hyperlegible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6F5FF"/>
          </w:tcPr>
          <w:p w14:paraId="00000030" w14:textId="7D875C99" w:rsidR="00A30A5A" w:rsidRPr="00192A01" w:rsidRDefault="00BD6EB1">
            <w:pPr>
              <w:rPr>
                <w:rFonts w:ascii="Atkinson Hyperlegible" w:hAnsi="Atkinson Hyperlegible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i/>
                <w:sz w:val="24"/>
                <w:szCs w:val="24"/>
              </w:rPr>
              <w:t>Initialbehandling</w:t>
            </w:r>
            <w:r w:rsidRPr="00192A01">
              <w:rPr>
                <w:rFonts w:ascii="Atkinson Hyperlegible" w:hAnsi="Atkinson Hyperlegible"/>
                <w:sz w:val="24"/>
                <w:szCs w:val="24"/>
              </w:rPr>
              <w:t>:</w:t>
            </w:r>
          </w:p>
        </w:tc>
      </w:tr>
      <w:tr w:rsidR="00A30A5A" w:rsidRPr="00192A01" w14:paraId="7D8168E4" w14:textId="77777777" w:rsidTr="00260D5B">
        <w:trPr>
          <w:trHeight w:val="4058"/>
        </w:trPr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6F5FF"/>
          </w:tcPr>
          <w:p w14:paraId="00000031" w14:textId="77777777" w:rsidR="00A30A5A" w:rsidRPr="00192A01" w:rsidRDefault="00BD6EB1">
            <w:pPr>
              <w:rPr>
                <w:rFonts w:ascii="Atkinson Hyperlegible" w:hAnsi="Atkinson Hyperlegible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>Hurtig normalisering af kroppens vitamin B12 er nødvendig for at undgå irreversible skader. Som udgangspunkt anbefales parenteral behandling med injektion af vitamin B12 (hydroxycobalamin): initialt 1 mg i.m. hver 2. dag i alt 5 gange [13,14]. Nogle patienter (specielt med neurologiske symptomer) kan herefter have behov for ugentlige injektioner med 1 mg B12, indtil der ikke er yderligere forbedring. OBS:</w:t>
            </w:r>
          </w:p>
          <w:p w14:paraId="00000032" w14:textId="77777777" w:rsidR="00A30A5A" w:rsidRPr="00192A01" w:rsidRDefault="00BD6EB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tkinson Hyperlegible" w:hAnsi="Atkinson Hyperlegible"/>
                <w:color w:val="000000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>Neurologiske symptomer aftager langsomt og kan persistere i op til et halvt år</w:t>
            </w:r>
          </w:p>
          <w:p w14:paraId="00000033" w14:textId="076A6A70" w:rsidR="00A30A5A" w:rsidRPr="00192A01" w:rsidRDefault="00BD6EB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tkinson Hyperlegible" w:hAnsi="Atkinson Hyperlegible"/>
                <w:color w:val="000000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color w:val="000000"/>
                <w:sz w:val="24"/>
                <w:szCs w:val="24"/>
              </w:rPr>
              <w:t xml:space="preserve">Ved gastrointestinal årsag til </w:t>
            </w:r>
            <w:r w:rsidR="00CA25AE" w:rsidRPr="00192A01">
              <w:rPr>
                <w:rFonts w:ascii="Atkinson Hyperlegible" w:hAnsi="Atkinson Hyperlegible"/>
                <w:color w:val="000000"/>
                <w:sz w:val="24"/>
                <w:szCs w:val="24"/>
              </w:rPr>
              <w:t xml:space="preserve">vitamin </w:t>
            </w:r>
            <w:r w:rsidRPr="00192A01">
              <w:rPr>
                <w:rFonts w:ascii="Atkinson Hyperlegible" w:hAnsi="Atkinson Hyperlegible"/>
                <w:color w:val="000000"/>
                <w:sz w:val="24"/>
                <w:szCs w:val="24"/>
              </w:rPr>
              <w:t>B12-mangel kan der også være folat- og/eller jernmangel</w:t>
            </w:r>
          </w:p>
          <w:p w14:paraId="00000034" w14:textId="77777777" w:rsidR="00A30A5A" w:rsidRPr="00192A01" w:rsidRDefault="00BD6EB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tkinson Hyperlegible" w:hAnsi="Atkinson Hyperlegible"/>
                <w:color w:val="000000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color w:val="000000"/>
                <w:sz w:val="24"/>
                <w:szCs w:val="24"/>
              </w:rPr>
              <w:t xml:space="preserve">Ved stærk mistanke om vitamin B12-mangel, hvor de biokemiske markører er </w:t>
            </w:r>
            <w:r w:rsidRPr="00192A01">
              <w:rPr>
                <w:rFonts w:ascii="Atkinson Hyperlegible" w:hAnsi="Atkinson Hyperlegible"/>
                <w:sz w:val="24"/>
                <w:szCs w:val="24"/>
              </w:rPr>
              <w:t>normale</w:t>
            </w:r>
            <w:r w:rsidRPr="00192A01">
              <w:rPr>
                <w:rFonts w:ascii="Atkinson Hyperlegible" w:hAnsi="Atkinson Hyperlegible"/>
                <w:color w:val="000000"/>
                <w:sz w:val="24"/>
                <w:szCs w:val="24"/>
              </w:rPr>
              <w:t>, kan behandlingsforsøg overvejes</w:t>
            </w:r>
          </w:p>
          <w:p w14:paraId="00000035" w14:textId="77777777" w:rsidR="00A30A5A" w:rsidRPr="00192A01" w:rsidRDefault="00BD6EB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tkinson Hyperlegible" w:hAnsi="Atkinson Hyperlegible"/>
                <w:color w:val="000000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>Hvis der ikke er effekt på symptomerne, skal diagnosen revurderes.</w:t>
            </w: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6F5FF"/>
          </w:tcPr>
          <w:p w14:paraId="00000036" w14:textId="1A2EA8D7" w:rsidR="00A30A5A" w:rsidRPr="00192A01" w:rsidRDefault="00BD6EB1">
            <w:pPr>
              <w:rPr>
                <w:rFonts w:ascii="Atkinson Hyperlegible" w:hAnsi="Atkinson Hyperlegible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>Starter direkte på vedligeholdelsesbehandling</w:t>
            </w:r>
            <w:r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br/>
              <w:t>(se nedenfor)</w:t>
            </w:r>
          </w:p>
        </w:tc>
      </w:tr>
      <w:tr w:rsidR="00A30A5A" w:rsidRPr="00192A01" w14:paraId="68A1FCD8" w14:textId="77777777" w:rsidTr="00260D5B">
        <w:trPr>
          <w:trHeight w:val="720"/>
        </w:trPr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6F5FF"/>
          </w:tcPr>
          <w:p w14:paraId="00000037" w14:textId="77777777" w:rsidR="00A30A5A" w:rsidRPr="00192A01" w:rsidRDefault="00BD6EB1">
            <w:pPr>
              <w:rPr>
                <w:rFonts w:ascii="Atkinson Hyperlegible" w:hAnsi="Atkinson Hyperlegible"/>
                <w:i/>
                <w:color w:val="1A1918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i/>
                <w:color w:val="1A1918"/>
                <w:sz w:val="24"/>
                <w:szCs w:val="24"/>
              </w:rPr>
              <w:t>Vedligeholdelsesbehandling</w:t>
            </w:r>
            <w:r w:rsidRPr="00192A01">
              <w:rPr>
                <w:rFonts w:ascii="Atkinson Hyperlegible" w:hAnsi="Atkinson Hyperlegible"/>
                <w:i/>
                <w:color w:val="1A1918"/>
                <w:sz w:val="24"/>
                <w:szCs w:val="24"/>
              </w:rPr>
              <w:br/>
              <w:t>afhænger af årsagen til vitamin B12-mangel:</w:t>
            </w: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6F5FF"/>
          </w:tcPr>
          <w:p w14:paraId="00000038" w14:textId="77777777" w:rsidR="00A30A5A" w:rsidRPr="00192A01" w:rsidRDefault="00BD6EB1">
            <w:pPr>
              <w:rPr>
                <w:rFonts w:ascii="Atkinson Hyperlegible" w:hAnsi="Atkinson Hyperlegible"/>
                <w:color w:val="1A1918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i/>
                <w:color w:val="1A1918"/>
                <w:sz w:val="24"/>
                <w:szCs w:val="24"/>
              </w:rPr>
              <w:t>Vedligeholdelsesbehandling:</w:t>
            </w:r>
          </w:p>
        </w:tc>
      </w:tr>
      <w:tr w:rsidR="00A30A5A" w:rsidRPr="00192A01" w14:paraId="17B3E294" w14:textId="77777777" w:rsidTr="00260D5B">
        <w:trPr>
          <w:trHeight w:val="720"/>
        </w:trPr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6F5FF"/>
          </w:tcPr>
          <w:p w14:paraId="00000039" w14:textId="349035D2" w:rsidR="00A30A5A" w:rsidRPr="00192A01" w:rsidRDefault="00BD6EB1">
            <w:pPr>
              <w:rPr>
                <w:rFonts w:ascii="Atkinson Hyperlegible" w:hAnsi="Atkinson Hyperlegible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b/>
                <w:color w:val="1A1918"/>
                <w:sz w:val="24"/>
                <w:szCs w:val="24"/>
              </w:rPr>
              <w:t>Utilstrækkeligt indtag</w:t>
            </w:r>
            <w:r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 xml:space="preserve">: Kostændring eller daglig </w:t>
            </w:r>
            <w:r w:rsidR="00CA25AE"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 xml:space="preserve">peroral </w:t>
            </w:r>
            <w:r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>vitaminpille med mindst 2,4 mikrogram vitamin B12 indtaget med et måltid.</w:t>
            </w:r>
          </w:p>
          <w:p w14:paraId="0000003A" w14:textId="304D6599" w:rsidR="00A30A5A" w:rsidRPr="00192A01" w:rsidRDefault="00BD6EB1">
            <w:pPr>
              <w:rPr>
                <w:rFonts w:ascii="Atkinson Hyperlegible" w:hAnsi="Atkinson Hyperlegible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b/>
                <w:color w:val="1A1918"/>
                <w:sz w:val="24"/>
                <w:szCs w:val="24"/>
              </w:rPr>
              <w:t>Manglende evne til at optage vitamin B12</w:t>
            </w:r>
            <w:r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>: Peroral behandling med 1 mg B12 (cyanocobalamin) dagligt (ca. 1 % optages ved passiv diffusion) rækker til de fleste.</w:t>
            </w:r>
          </w:p>
          <w:p w14:paraId="0000003B" w14:textId="79122726" w:rsidR="00A30A5A" w:rsidRPr="00192A01" w:rsidRDefault="00000000">
            <w:pPr>
              <w:rPr>
                <w:rFonts w:ascii="Atkinson Hyperlegible" w:hAnsi="Atkinson Hyperlegible"/>
                <w:sz w:val="24"/>
                <w:szCs w:val="24"/>
              </w:rPr>
            </w:pPr>
            <w:sdt>
              <w:sdtPr>
                <w:rPr>
                  <w:rFonts w:ascii="Atkinson Hyperlegible" w:hAnsi="Atkinson Hyperlegible"/>
                </w:rPr>
                <w:tag w:val="goog_rdk_2"/>
                <w:id w:val="1390144733"/>
              </w:sdtPr>
              <w:sdtContent/>
            </w:sdt>
            <w:sdt>
              <w:sdtPr>
                <w:rPr>
                  <w:rFonts w:ascii="Atkinson Hyperlegible" w:hAnsi="Atkinson Hyperlegible"/>
                </w:rPr>
                <w:tag w:val="goog_rdk_3"/>
                <w:id w:val="1187875445"/>
              </w:sdtPr>
              <w:sdtContent/>
            </w:sdt>
            <w:r w:rsidR="00BD6EB1" w:rsidRPr="00192A01">
              <w:rPr>
                <w:rFonts w:ascii="Atkinson Hyperlegible" w:hAnsi="Atkinson Hyperlegible"/>
                <w:b/>
                <w:color w:val="1A1918"/>
                <w:sz w:val="24"/>
                <w:szCs w:val="24"/>
              </w:rPr>
              <w:t>Ved fortsatte symptomer under peroral behandling</w:t>
            </w:r>
            <w:r w:rsidR="00CA25AE"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 xml:space="preserve"> </w:t>
            </w:r>
            <w:r w:rsidR="00CA25AE" w:rsidRPr="00192A01">
              <w:rPr>
                <w:rFonts w:ascii="Atkinson Hyperlegible" w:hAnsi="Atkinson Hyperlegible"/>
                <w:b/>
                <w:bCs/>
                <w:color w:val="1A1918"/>
                <w:sz w:val="24"/>
                <w:szCs w:val="24"/>
              </w:rPr>
              <w:t>kan vedvarende injektionsbehandling overvejes.</w:t>
            </w:r>
            <w:r w:rsidR="00BD6EB1"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 xml:space="preserve"> </w:t>
            </w:r>
            <w:r w:rsidR="00CA25AE"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br/>
              <w:t>En mindre gruppe patienter har behov for vedvarende injektionsbehandling for at opnå symptomkontrol. De fleste kan klare sig med injektion hver 2.-3. måned, men intervallet kan tilpasses, så patienten har så få symptomer</w:t>
            </w:r>
            <w:r w:rsidR="00F51BBF"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>, og så lille behandlingsbyrde,</w:t>
            </w:r>
            <w:r w:rsidR="00CA25AE"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 xml:space="preserve"> som muligt.</w:t>
            </w:r>
            <w:r w:rsidR="00BD6EB1"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 xml:space="preserve"> [6].</w:t>
            </w: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6F5FF"/>
          </w:tcPr>
          <w:p w14:paraId="0000003C" w14:textId="77777777" w:rsidR="00A30A5A" w:rsidRPr="00192A01" w:rsidRDefault="00BD6EB1">
            <w:pPr>
              <w:rPr>
                <w:rFonts w:ascii="Atkinson Hyperlegible" w:hAnsi="Atkinson Hyperlegible"/>
                <w:color w:val="1A1918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 xml:space="preserve">Patienter med </w:t>
            </w:r>
            <w:r w:rsidRPr="00192A01">
              <w:rPr>
                <w:rFonts w:ascii="Atkinson Hyperlegible" w:hAnsi="Atkinson Hyperlegible"/>
                <w:b/>
                <w:color w:val="1A1918"/>
                <w:sz w:val="24"/>
                <w:szCs w:val="24"/>
              </w:rPr>
              <w:t>kun biokemiske tegn</w:t>
            </w:r>
            <w:r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 xml:space="preserve"> på vitamin B12-mangel kan starte direkte med </w:t>
            </w:r>
            <w:r w:rsidRPr="00192A01">
              <w:rPr>
                <w:rFonts w:ascii="Atkinson Hyperlegible" w:hAnsi="Atkinson Hyperlegible"/>
                <w:b/>
                <w:color w:val="1A1918"/>
                <w:sz w:val="24"/>
                <w:szCs w:val="24"/>
              </w:rPr>
              <w:t xml:space="preserve">peroral </w:t>
            </w:r>
            <w:r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>vedligeholdelses-behandling (se venstre kolonne).</w:t>
            </w:r>
          </w:p>
          <w:p w14:paraId="0000003D" w14:textId="77777777" w:rsidR="00A30A5A" w:rsidRPr="00192A01" w:rsidRDefault="00BD6EB1">
            <w:pPr>
              <w:rPr>
                <w:rFonts w:ascii="Atkinson Hyperlegible" w:hAnsi="Atkinson Hyperlegible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>Vær løbende opmærksom på udvikling af kliniske symptomer. Biokemisk opfølgning er unødvendig.</w:t>
            </w:r>
          </w:p>
          <w:p w14:paraId="0000003E" w14:textId="77777777" w:rsidR="00A30A5A" w:rsidRPr="00192A01" w:rsidRDefault="00A30A5A">
            <w:pPr>
              <w:rPr>
                <w:rFonts w:ascii="Atkinson Hyperlegible" w:hAnsi="Atkinson Hyperlegible"/>
                <w:color w:val="1A1918"/>
                <w:sz w:val="24"/>
                <w:szCs w:val="24"/>
              </w:rPr>
            </w:pPr>
          </w:p>
          <w:p w14:paraId="00000040" w14:textId="6BBF269D" w:rsidR="00A30A5A" w:rsidRPr="00192A01" w:rsidRDefault="00BD6EB1" w:rsidP="000B5B67">
            <w:pPr>
              <w:rPr>
                <w:rFonts w:ascii="Atkinson Hyperlegible" w:hAnsi="Atkinson Hyperlegible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b/>
                <w:color w:val="1A1918"/>
                <w:sz w:val="24"/>
                <w:szCs w:val="24"/>
              </w:rPr>
              <w:t>Metformin</w:t>
            </w:r>
            <w:r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 xml:space="preserve">: Ved konstateret vitamin B12-mangel uden symptomer anbefales peroral forebyggende behandling med 1 mg vitamin B12 dagligt, så længe </w:t>
            </w:r>
            <w:r w:rsidR="00222819"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>metformin</w:t>
            </w:r>
            <w:r w:rsidRPr="00192A01">
              <w:rPr>
                <w:rFonts w:ascii="Atkinson Hyperlegible" w:hAnsi="Atkinson Hyperlegible"/>
                <w:color w:val="1A1918"/>
                <w:sz w:val="24"/>
                <w:szCs w:val="24"/>
              </w:rPr>
              <w:t xml:space="preserve"> indtages [6].</w:t>
            </w:r>
          </w:p>
        </w:tc>
      </w:tr>
    </w:tbl>
    <w:p w14:paraId="00000043" w14:textId="27E4943E" w:rsidR="00A30A5A" w:rsidRPr="004A124C" w:rsidRDefault="00BD6EB1" w:rsidP="00B21A0D">
      <w:pPr>
        <w:pStyle w:val="Overskrift2"/>
        <w:spacing w:after="240"/>
        <w:rPr>
          <w:rFonts w:ascii="Atkinson Hyperlegible" w:hAnsi="Atkinson Hyperlegible"/>
          <w:b/>
          <w:color w:val="001450"/>
          <w:sz w:val="28"/>
          <w:szCs w:val="28"/>
        </w:rPr>
      </w:pPr>
      <w:bookmarkStart w:id="2" w:name="_heading=h.jg4upinsexpu" w:colFirst="0" w:colLast="0"/>
      <w:bookmarkStart w:id="3" w:name="_heading=h.1fob9te" w:colFirst="0" w:colLast="0"/>
      <w:bookmarkEnd w:id="2"/>
      <w:bookmarkEnd w:id="3"/>
      <w:r w:rsidRPr="004A124C">
        <w:rPr>
          <w:rFonts w:ascii="Atkinson Hyperlegible" w:hAnsi="Atkinson Hyperlegible"/>
          <w:b/>
          <w:color w:val="001450"/>
          <w:sz w:val="28"/>
          <w:szCs w:val="28"/>
        </w:rPr>
        <w:lastRenderedPageBreak/>
        <w:t>Hvor længe varer behandlingen?</w:t>
      </w:r>
    </w:p>
    <w:p w14:paraId="00000044" w14:textId="77777777" w:rsidR="00A30A5A" w:rsidRPr="004A124C" w:rsidRDefault="00BD6EB1">
      <w:pPr>
        <w:spacing w:after="0"/>
        <w:rPr>
          <w:rFonts w:ascii="Atkinson Hyperlegible" w:hAnsi="Atkinson Hyperlegible"/>
          <w:sz w:val="24"/>
          <w:szCs w:val="24"/>
        </w:rPr>
      </w:pPr>
      <w:r w:rsidRPr="004A124C">
        <w:rPr>
          <w:rFonts w:ascii="Atkinson Hyperlegible" w:hAnsi="Atkinson Hyperlegible"/>
          <w:sz w:val="24"/>
          <w:szCs w:val="24"/>
        </w:rPr>
        <w:t xml:space="preserve">Patienter med en </w:t>
      </w:r>
      <w:r w:rsidRPr="004A124C">
        <w:rPr>
          <w:rFonts w:ascii="Atkinson Hyperlegible" w:hAnsi="Atkinson Hyperlegible"/>
          <w:b/>
          <w:sz w:val="24"/>
          <w:szCs w:val="24"/>
        </w:rPr>
        <w:t>irreversibel årsag</w:t>
      </w:r>
      <w:r w:rsidRPr="004A124C">
        <w:rPr>
          <w:rFonts w:ascii="Atkinson Hyperlegible" w:hAnsi="Atkinson Hyperlegible"/>
          <w:sz w:val="24"/>
          <w:szCs w:val="24"/>
        </w:rPr>
        <w:t xml:space="preserve"> til vitamin B12-mangel behandles livslangt.</w:t>
      </w:r>
    </w:p>
    <w:p w14:paraId="00000045" w14:textId="77777777" w:rsidR="00A30A5A" w:rsidRPr="004A124C" w:rsidRDefault="00BD6EB1">
      <w:pPr>
        <w:spacing w:after="0"/>
        <w:rPr>
          <w:rFonts w:ascii="Atkinson Hyperlegible" w:hAnsi="Atkinson Hyperlegible"/>
          <w:sz w:val="24"/>
          <w:szCs w:val="24"/>
        </w:rPr>
      </w:pPr>
      <w:r w:rsidRPr="004A124C">
        <w:rPr>
          <w:rFonts w:ascii="Atkinson Hyperlegible" w:hAnsi="Atkinson Hyperlegible"/>
          <w:sz w:val="24"/>
          <w:szCs w:val="24"/>
        </w:rPr>
        <w:t xml:space="preserve">Patienter med en </w:t>
      </w:r>
      <w:r w:rsidRPr="004A124C">
        <w:rPr>
          <w:rFonts w:ascii="Atkinson Hyperlegible" w:hAnsi="Atkinson Hyperlegible"/>
          <w:b/>
          <w:sz w:val="24"/>
          <w:szCs w:val="24"/>
        </w:rPr>
        <w:t>reversibel årsag</w:t>
      </w:r>
      <w:r w:rsidRPr="004A124C">
        <w:rPr>
          <w:rFonts w:ascii="Atkinson Hyperlegible" w:hAnsi="Atkinson Hyperlegible"/>
          <w:sz w:val="24"/>
          <w:szCs w:val="24"/>
        </w:rPr>
        <w:t xml:space="preserve"> behandles, indtil årsagen er korrigeret, og symptomerne er   væk. </w:t>
      </w:r>
    </w:p>
    <w:sdt>
      <w:sdtPr>
        <w:rPr>
          <w:rFonts w:ascii="Atkinson Hyperlegible" w:hAnsi="Atkinson Hyperlegible"/>
          <w:sz w:val="24"/>
          <w:szCs w:val="24"/>
        </w:rPr>
        <w:tag w:val="goog_rdk_5"/>
        <w:id w:val="-1245795442"/>
      </w:sdtPr>
      <w:sdtContent>
        <w:p w14:paraId="4833FEED" w14:textId="36224F2A" w:rsidR="00C92F2A" w:rsidRPr="004A124C" w:rsidRDefault="00C92F2A" w:rsidP="00C92F2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tkinson Hyperlegible" w:hAnsi="Atkinson Hyperlegible"/>
              <w:sz w:val="24"/>
              <w:szCs w:val="24"/>
            </w:rPr>
          </w:pPr>
          <w:r w:rsidRPr="004A124C">
            <w:rPr>
              <w:rFonts w:ascii="Atkinson Hyperlegible" w:hAnsi="Atkinson Hyperlegible"/>
              <w:b/>
              <w:bCs/>
              <w:sz w:val="24"/>
              <w:szCs w:val="24"/>
            </w:rPr>
            <w:t xml:space="preserve">Ved initial </w:t>
          </w:r>
          <w:r w:rsidRPr="004A124C">
            <w:rPr>
              <w:rFonts w:ascii="Atkinson Hyperlegible" w:hAnsi="Atkinson Hyperlegible"/>
              <w:b/>
              <w:bCs/>
              <w:color w:val="000000"/>
              <w:sz w:val="24"/>
              <w:szCs w:val="24"/>
            </w:rPr>
            <w:t>injektionsbehandling</w:t>
          </w:r>
          <w:r w:rsidRPr="004A124C">
            <w:rPr>
              <w:rFonts w:ascii="Atkinson Hyperlegible" w:hAnsi="Atkinson Hyperlegible"/>
              <w:sz w:val="24"/>
              <w:szCs w:val="24"/>
            </w:rPr>
            <w:t xml:space="preserve"> lægges en behandlingsplan efter sidste injektion. Planen baseres på den kliniske effekt af den initiale behandling. Planen føres ind i journalen.</w:t>
          </w:r>
        </w:p>
        <w:p w14:paraId="2D2A132A" w14:textId="454D7951" w:rsidR="00C92F2A" w:rsidRPr="004A124C" w:rsidRDefault="00000000" w:rsidP="00C92F2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tkinson Hyperlegible" w:eastAsia="Times New Roman" w:hAnsi="Atkinson Hyperlegible" w:cs="Times New Roman"/>
              <w:color w:val="000000"/>
              <w:sz w:val="24"/>
              <w:szCs w:val="24"/>
            </w:rPr>
          </w:pPr>
        </w:p>
      </w:sdtContent>
    </w:sdt>
    <w:p w14:paraId="00000046" w14:textId="77777777" w:rsidR="00A30A5A" w:rsidRPr="00192A01" w:rsidRDefault="00BD6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tkinson Hyperlegible" w:hAnsi="Atkinson Hyperlegible"/>
          <w:color w:val="000000"/>
          <w:sz w:val="24"/>
          <w:szCs w:val="24"/>
        </w:rPr>
      </w:pPr>
      <w:r w:rsidRPr="00192A01">
        <w:rPr>
          <w:rFonts w:ascii="Atkinson Hyperlegible" w:hAnsi="Atkinson Hyperlegible"/>
          <w:b/>
          <w:color w:val="000000"/>
          <w:sz w:val="24"/>
          <w:szCs w:val="24"/>
        </w:rPr>
        <w:t>Seponering</w:t>
      </w:r>
      <w:r w:rsidRPr="00192A01">
        <w:rPr>
          <w:rFonts w:ascii="Atkinson Hyperlegible" w:hAnsi="Atkinson Hyperlegible"/>
          <w:color w:val="000000"/>
          <w:sz w:val="24"/>
          <w:szCs w:val="24"/>
        </w:rPr>
        <w:t xml:space="preserve"> bør </w:t>
      </w:r>
      <w:r w:rsidRPr="00192A01">
        <w:rPr>
          <w:rFonts w:ascii="Atkinson Hyperlegible" w:hAnsi="Atkinson Hyperlegible"/>
          <w:sz w:val="24"/>
          <w:szCs w:val="24"/>
        </w:rPr>
        <w:t>overvejes, hvis</w:t>
      </w:r>
      <w:r w:rsidRPr="00192A01">
        <w:rPr>
          <w:rFonts w:ascii="Atkinson Hyperlegible" w:hAnsi="Atkinson Hyperlegible"/>
          <w:color w:val="000000"/>
          <w:sz w:val="24"/>
          <w:szCs w:val="24"/>
        </w:rPr>
        <w:t xml:space="preserve"> den oprindelige behandlings-indikation er uklar. Hvis vitamin B12 seponeres, instrueres patienten i at reagere, hvis der opstår symptomer.</w:t>
      </w:r>
      <w:r w:rsidRPr="00192A01">
        <w:rPr>
          <w:rFonts w:ascii="Atkinson Hyperlegible" w:hAnsi="Atkinson Hyperlegible"/>
          <w:color w:val="000000"/>
          <w:sz w:val="24"/>
          <w:szCs w:val="24"/>
        </w:rPr>
        <w:br/>
        <w:t>Det anbefales, at vitamin B12 kontrolleres hvert halve år i 2 år efter seponering [15].</w:t>
      </w:r>
    </w:p>
    <w:p w14:paraId="00000048" w14:textId="1D5178B6" w:rsidR="00A30A5A" w:rsidRPr="00192A01" w:rsidRDefault="00BD6EB1" w:rsidP="00B21A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tkinson Hyperlegible" w:hAnsi="Atkinson Hyperlegible"/>
          <w:color w:val="000000"/>
          <w:sz w:val="24"/>
          <w:szCs w:val="24"/>
        </w:rPr>
      </w:pPr>
      <w:r w:rsidRPr="00192A01">
        <w:rPr>
          <w:rFonts w:ascii="Atkinson Hyperlegible" w:hAnsi="Atkinson Hyperlegible"/>
          <w:color w:val="000000"/>
          <w:sz w:val="24"/>
          <w:szCs w:val="24"/>
        </w:rPr>
        <w:t>Dette skyldes, at vitamin B12-lageret tømmes langsomt fra kroppen. Derfor kan der gå op til 2 år, før eventuelle mangelsymptomer viser sig, eller biomarkører ændrer sig. Hvis der ikke er tegn på vitamin B12-mangel efter 2 år, er det usandsynligt, at patienten har behov for at genoptage behandling med vitamin B12.</w:t>
      </w:r>
    </w:p>
    <w:p w14:paraId="32A9DB41" w14:textId="77777777" w:rsidR="00192A01" w:rsidRDefault="00192A01" w:rsidP="00B21A0D">
      <w:pPr>
        <w:pStyle w:val="Overskrift2"/>
        <w:spacing w:after="240"/>
        <w:rPr>
          <w:rFonts w:ascii="Atkinson Hyperlegible" w:hAnsi="Atkinson Hyperlegible"/>
          <w:b/>
          <w:color w:val="001450"/>
        </w:rPr>
      </w:pPr>
    </w:p>
    <w:p w14:paraId="0000004C" w14:textId="3B652785" w:rsidR="00A30A5A" w:rsidRPr="004A124C" w:rsidRDefault="00BD6EB1" w:rsidP="00B21A0D">
      <w:pPr>
        <w:pStyle w:val="Overskrift2"/>
        <w:spacing w:after="240"/>
        <w:rPr>
          <w:rFonts w:ascii="Atkinson Hyperlegible" w:hAnsi="Atkinson Hyperlegible"/>
          <w:b/>
          <w:color w:val="001450"/>
          <w:sz w:val="28"/>
          <w:szCs w:val="28"/>
        </w:rPr>
      </w:pPr>
      <w:r w:rsidRPr="004A124C">
        <w:rPr>
          <w:rFonts w:ascii="Atkinson Hyperlegible" w:hAnsi="Atkinson Hyperlegible"/>
          <w:b/>
          <w:color w:val="001450"/>
          <w:sz w:val="28"/>
          <w:szCs w:val="28"/>
        </w:rPr>
        <w:t>Lægemiddelinformation</w:t>
      </w:r>
    </w:p>
    <w:p w14:paraId="0000004D" w14:textId="77777777" w:rsidR="00A30A5A" w:rsidRPr="00192A01" w:rsidRDefault="00BD6EB1">
      <w:pPr>
        <w:spacing w:after="0"/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b/>
          <w:sz w:val="24"/>
          <w:szCs w:val="24"/>
        </w:rPr>
        <w:t>Injektionspræparatet hydroxycobalamin skal opbevares i køleskab</w:t>
      </w:r>
      <w:r w:rsidRPr="00192A01">
        <w:rPr>
          <w:rFonts w:ascii="Atkinson Hyperlegible" w:hAnsi="Atkinson Hyperlegible"/>
          <w:sz w:val="24"/>
          <w:szCs w:val="24"/>
        </w:rPr>
        <w:t>.</w:t>
      </w:r>
    </w:p>
    <w:p w14:paraId="0000004E" w14:textId="77777777" w:rsidR="00A30A5A" w:rsidRPr="00192A01" w:rsidRDefault="00BD6EB1">
      <w:pPr>
        <w:spacing w:after="0"/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b/>
          <w:sz w:val="24"/>
          <w:szCs w:val="24"/>
        </w:rPr>
        <w:t>Bivirkninger</w:t>
      </w:r>
      <w:r w:rsidRPr="00192A01">
        <w:rPr>
          <w:rFonts w:ascii="Atkinson Hyperlegible" w:hAnsi="Atkinson Hyperlegible"/>
          <w:sz w:val="24"/>
          <w:szCs w:val="24"/>
        </w:rPr>
        <w:t xml:space="preserve"> ved vitamin B12-behandling: ingen alvorlige bivirkninger, ingen øget risiko for kræft [6].</w:t>
      </w:r>
      <w:r w:rsidRPr="00192A01">
        <w:rPr>
          <w:rFonts w:ascii="Atkinson Hyperlegible" w:hAnsi="Atkinson Hyperlegible"/>
          <w:sz w:val="24"/>
          <w:szCs w:val="24"/>
        </w:rPr>
        <w:br/>
      </w:r>
      <w:r w:rsidRPr="00192A01">
        <w:rPr>
          <w:rFonts w:ascii="Atkinson Hyperlegible" w:hAnsi="Atkinson Hyperlegible"/>
          <w:b/>
          <w:sz w:val="24"/>
          <w:szCs w:val="24"/>
        </w:rPr>
        <w:t>Klausuleret tilskud</w:t>
      </w:r>
      <w:r w:rsidRPr="00192A01">
        <w:rPr>
          <w:rFonts w:ascii="Atkinson Hyperlegible" w:hAnsi="Atkinson Hyperlegible"/>
          <w:sz w:val="24"/>
          <w:szCs w:val="24"/>
        </w:rPr>
        <w:t xml:space="preserve"> ved behandling af autoimmun atrofisk gastrit og ved vitamin B12-mangel efter indgreb i mave-tarm-kanalen eller ved anden malabsorption. </w:t>
      </w:r>
    </w:p>
    <w:p w14:paraId="0000004F" w14:textId="77777777" w:rsidR="00A30A5A" w:rsidRPr="00192A01" w:rsidRDefault="00A30A5A">
      <w:pPr>
        <w:spacing w:after="0"/>
        <w:jc w:val="right"/>
        <w:rPr>
          <w:rFonts w:ascii="Atkinson Hyperlegible" w:hAnsi="Atkinson Hyperlegible"/>
          <w:sz w:val="24"/>
          <w:szCs w:val="24"/>
        </w:rPr>
      </w:pPr>
    </w:p>
    <w:p w14:paraId="00000051" w14:textId="43856D40" w:rsidR="00A30A5A" w:rsidRPr="00192A01" w:rsidRDefault="00BD6EB1">
      <w:pPr>
        <w:spacing w:after="0"/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b/>
          <w:sz w:val="24"/>
          <w:szCs w:val="24"/>
        </w:rPr>
        <w:t>Lægemiddelstyrelsen fraråder injektion af præparater købt i udlandet</w:t>
      </w:r>
      <w:r w:rsidRPr="00192A01">
        <w:rPr>
          <w:rFonts w:ascii="Atkinson Hyperlegible" w:hAnsi="Atkinson Hyperlegible"/>
          <w:sz w:val="24"/>
          <w:szCs w:val="24"/>
        </w:rPr>
        <w:t xml:space="preserve">, da anbefalet doseringsinterval afviger fra danske præparater. Ifølge Styrelsen for Patientsikkerhed har man som patient i Danmark ikke noget retskrav på selv at bestemme indholdet af en given behandling [16]. </w:t>
      </w:r>
    </w:p>
    <w:p w14:paraId="5D348955" w14:textId="77777777" w:rsidR="00B21A0D" w:rsidRPr="00192A01" w:rsidRDefault="00B21A0D">
      <w:pPr>
        <w:spacing w:after="0"/>
        <w:rPr>
          <w:rFonts w:ascii="Atkinson Hyperlegible" w:hAnsi="Atkinson Hyperlegible"/>
          <w:sz w:val="24"/>
          <w:szCs w:val="24"/>
        </w:rPr>
      </w:pPr>
    </w:p>
    <w:p w14:paraId="154A961D" w14:textId="77777777" w:rsidR="004A124C" w:rsidRDefault="004A124C">
      <w:pPr>
        <w:rPr>
          <w:rFonts w:ascii="Atkinson Hyperlegible" w:hAnsi="Atkinson Hyperlegible" w:cs="Calibri Light"/>
          <w:b/>
          <w:color w:val="001450"/>
          <w:sz w:val="26"/>
          <w:szCs w:val="26"/>
        </w:rPr>
      </w:pPr>
    </w:p>
    <w:p w14:paraId="2CA1AC40" w14:textId="77777777" w:rsidR="004A124C" w:rsidRDefault="004A124C">
      <w:pPr>
        <w:rPr>
          <w:rFonts w:ascii="Atkinson Hyperlegible" w:hAnsi="Atkinson Hyperlegible" w:cs="Calibri Light"/>
          <w:b/>
          <w:color w:val="001450"/>
          <w:sz w:val="26"/>
          <w:szCs w:val="26"/>
        </w:rPr>
      </w:pPr>
    </w:p>
    <w:p w14:paraId="01B87F3B" w14:textId="77777777" w:rsidR="004A124C" w:rsidRDefault="004A124C">
      <w:pPr>
        <w:rPr>
          <w:rFonts w:ascii="Atkinson Hyperlegible" w:hAnsi="Atkinson Hyperlegible" w:cs="Calibri Light"/>
          <w:b/>
          <w:color w:val="001450"/>
          <w:sz w:val="26"/>
          <w:szCs w:val="26"/>
        </w:rPr>
      </w:pPr>
    </w:p>
    <w:p w14:paraId="740C819A" w14:textId="77777777" w:rsidR="004A124C" w:rsidRDefault="004A124C">
      <w:pPr>
        <w:rPr>
          <w:rFonts w:ascii="Atkinson Hyperlegible" w:hAnsi="Atkinson Hyperlegible" w:cs="Calibri Light"/>
          <w:b/>
          <w:color w:val="001450"/>
          <w:sz w:val="26"/>
          <w:szCs w:val="26"/>
        </w:rPr>
      </w:pPr>
    </w:p>
    <w:p w14:paraId="69035E42" w14:textId="77777777" w:rsidR="004A124C" w:rsidRDefault="004A124C">
      <w:pPr>
        <w:rPr>
          <w:rFonts w:ascii="Atkinson Hyperlegible" w:hAnsi="Atkinson Hyperlegible" w:cs="Calibri Light"/>
          <w:b/>
          <w:color w:val="001450"/>
          <w:sz w:val="26"/>
          <w:szCs w:val="26"/>
        </w:rPr>
      </w:pPr>
    </w:p>
    <w:p w14:paraId="67BAD5BD" w14:textId="77777777" w:rsidR="004A124C" w:rsidRDefault="004A124C">
      <w:pPr>
        <w:rPr>
          <w:rFonts w:ascii="Atkinson Hyperlegible" w:hAnsi="Atkinson Hyperlegible" w:cs="Calibri Light"/>
          <w:b/>
          <w:color w:val="001450"/>
          <w:sz w:val="26"/>
          <w:szCs w:val="26"/>
        </w:rPr>
      </w:pPr>
    </w:p>
    <w:p w14:paraId="63B44078" w14:textId="77777777" w:rsidR="004A124C" w:rsidRDefault="004A124C">
      <w:pPr>
        <w:rPr>
          <w:rFonts w:ascii="Atkinson Hyperlegible" w:hAnsi="Atkinson Hyperlegible" w:cs="Calibri Light"/>
          <w:b/>
          <w:color w:val="001450"/>
          <w:sz w:val="26"/>
          <w:szCs w:val="26"/>
        </w:rPr>
      </w:pPr>
    </w:p>
    <w:p w14:paraId="2769D5D5" w14:textId="77777777" w:rsidR="004A124C" w:rsidRDefault="004A124C">
      <w:pPr>
        <w:rPr>
          <w:rFonts w:ascii="Atkinson Hyperlegible" w:hAnsi="Atkinson Hyperlegible" w:cs="Calibri Light"/>
          <w:b/>
          <w:color w:val="001450"/>
          <w:sz w:val="26"/>
          <w:szCs w:val="26"/>
        </w:rPr>
      </w:pPr>
    </w:p>
    <w:p w14:paraId="19C2DFA3" w14:textId="77777777" w:rsidR="004A124C" w:rsidRDefault="004A124C">
      <w:pPr>
        <w:rPr>
          <w:rFonts w:ascii="Atkinson Hyperlegible" w:hAnsi="Atkinson Hyperlegible" w:cs="Calibri Light"/>
          <w:b/>
          <w:color w:val="001450"/>
          <w:sz w:val="26"/>
          <w:szCs w:val="26"/>
        </w:rPr>
      </w:pPr>
    </w:p>
    <w:p w14:paraId="00000052" w14:textId="223D03AE" w:rsidR="00A30A5A" w:rsidRPr="004A124C" w:rsidRDefault="00BD6EB1">
      <w:pPr>
        <w:rPr>
          <w:rFonts w:ascii="Atkinson Hyperlegible" w:hAnsi="Atkinson Hyperlegible" w:cs="Calibri Light"/>
          <w:b/>
          <w:color w:val="001450"/>
          <w:sz w:val="28"/>
          <w:szCs w:val="28"/>
        </w:rPr>
      </w:pPr>
      <w:r w:rsidRPr="004A124C">
        <w:rPr>
          <w:rFonts w:ascii="Atkinson Hyperlegible" w:hAnsi="Atkinson Hyperlegible" w:cs="Calibri Light"/>
          <w:b/>
          <w:color w:val="001450"/>
          <w:sz w:val="28"/>
          <w:szCs w:val="28"/>
        </w:rPr>
        <w:lastRenderedPageBreak/>
        <w:t>Hvordan monitoreres B12-behandling?</w:t>
      </w:r>
      <w:r w:rsidRPr="004A124C">
        <w:rPr>
          <w:rFonts w:ascii="Atkinson Hyperlegible" w:eastAsia="Times New Roman" w:hAnsi="Atkinson Hyperlegible" w:cs="Calibri Light"/>
          <w:b/>
          <w:color w:val="001450"/>
          <w:sz w:val="28"/>
          <w:szCs w:val="28"/>
        </w:rPr>
        <w:t xml:space="preserve"> </w:t>
      </w:r>
    </w:p>
    <w:p w14:paraId="00000053" w14:textId="4DC5DD84" w:rsidR="00A30A5A" w:rsidRPr="004A124C" w:rsidRDefault="00BD6EB1">
      <w:pPr>
        <w:rPr>
          <w:rFonts w:ascii="Atkinson Hyperlegible" w:hAnsi="Atkinson Hyperlegible"/>
          <w:sz w:val="24"/>
          <w:szCs w:val="24"/>
        </w:rPr>
      </w:pPr>
      <w:r w:rsidRPr="004A124C">
        <w:rPr>
          <w:rFonts w:ascii="Atkinson Hyperlegible" w:hAnsi="Atkinson Hyperlegible"/>
          <w:color w:val="000000"/>
          <w:sz w:val="24"/>
          <w:szCs w:val="24"/>
        </w:rPr>
        <w:t xml:space="preserve">Kontrolmålinger af vitamin B12 i plasma anbefales ikke, mens patienten er i behandling, da blodprøveværdien ikke nødvendigvis afspejler vævsindholdet af vitamin B12 [17]. </w:t>
      </w:r>
      <w:sdt>
        <w:sdtPr>
          <w:rPr>
            <w:rFonts w:ascii="Atkinson Hyperlegible" w:hAnsi="Atkinson Hyperlegible"/>
            <w:sz w:val="24"/>
            <w:szCs w:val="24"/>
          </w:rPr>
          <w:tag w:val="goog_rdk_4"/>
          <w:id w:val="-703636627"/>
        </w:sdtPr>
        <w:sdtContent>
          <w:r w:rsidR="00F51BBF" w:rsidRPr="004A124C">
            <w:rPr>
              <w:rFonts w:ascii="Atkinson Hyperlegible" w:hAnsi="Atkinson Hyperlegible"/>
              <w:sz w:val="24"/>
              <w:szCs w:val="24"/>
            </w:rPr>
            <w:t xml:space="preserve">Der monitoreres på kliniske symptomer og anæmiblodprøver som angivet i </w:t>
          </w:r>
          <w:r w:rsidR="00C92F2A" w:rsidRPr="004A124C">
            <w:rPr>
              <w:rFonts w:ascii="Atkinson Hyperlegible" w:hAnsi="Atkinson Hyperlegible"/>
              <w:sz w:val="24"/>
              <w:szCs w:val="24"/>
            </w:rPr>
            <w:t>skemaet</w:t>
          </w:r>
          <w:r w:rsidR="00F51BBF" w:rsidRPr="004A124C">
            <w:rPr>
              <w:rFonts w:ascii="Atkinson Hyperlegible" w:hAnsi="Atkinson Hyperlegible"/>
              <w:sz w:val="24"/>
              <w:szCs w:val="24"/>
            </w:rPr>
            <w:t xml:space="preserve"> herunder.</w:t>
          </w:r>
          <w:r w:rsidR="00C92F2A" w:rsidRPr="004A124C">
            <w:rPr>
              <w:rFonts w:ascii="Atkinson Hyperlegible" w:hAnsi="Atkinson Hyperlegible"/>
              <w:sz w:val="24"/>
              <w:szCs w:val="24"/>
            </w:rPr>
            <w:t xml:space="preserve"> </w:t>
          </w:r>
        </w:sdtContent>
      </w:sdt>
    </w:p>
    <w:tbl>
      <w:tblPr>
        <w:tblStyle w:val="a1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3068"/>
        <w:gridCol w:w="1902"/>
        <w:gridCol w:w="5800"/>
      </w:tblGrid>
      <w:tr w:rsidR="00A30A5A" w:rsidRPr="00192A01" w14:paraId="0D321CE8" w14:textId="77777777" w:rsidTr="00260D5B">
        <w:trPr>
          <w:trHeight w:val="300"/>
        </w:trPr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1450"/>
          </w:tcPr>
          <w:p w14:paraId="00000054" w14:textId="77777777" w:rsidR="00A30A5A" w:rsidRPr="00E835B5" w:rsidRDefault="00BD6EB1">
            <w:pPr>
              <w:rPr>
                <w:rFonts w:ascii="Atkinson Hyperlegible" w:hAnsi="Atkinson Hyperlegible"/>
                <w:b/>
                <w:color w:val="FFFFFF" w:themeColor="background1"/>
                <w:sz w:val="24"/>
                <w:szCs w:val="24"/>
                <w:lang w:val="nb-NO"/>
              </w:rPr>
            </w:pPr>
            <w:r w:rsidRPr="00E835B5">
              <w:rPr>
                <w:rFonts w:ascii="Atkinson Hyperlegible" w:hAnsi="Atkinson Hyperlegible"/>
                <w:b/>
                <w:color w:val="FFFFFF" w:themeColor="background1"/>
                <w:sz w:val="24"/>
                <w:szCs w:val="24"/>
                <w:lang w:val="nb-NO"/>
              </w:rPr>
              <w:t>Neurologiske og neuro-psykiatriske symptomer</w:t>
            </w: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1450"/>
          </w:tcPr>
          <w:p w14:paraId="00000055" w14:textId="77777777" w:rsidR="00A30A5A" w:rsidRPr="00E835B5" w:rsidRDefault="00BD6EB1">
            <w:pPr>
              <w:rPr>
                <w:rFonts w:ascii="Atkinson Hyperlegible" w:hAnsi="Atkinson Hyperlegible"/>
                <w:b/>
                <w:color w:val="FFFFFF" w:themeColor="background1"/>
                <w:sz w:val="24"/>
                <w:szCs w:val="24"/>
              </w:rPr>
            </w:pPr>
            <w:r w:rsidRPr="00E835B5">
              <w:rPr>
                <w:rFonts w:ascii="Atkinson Hyperlegible" w:hAnsi="Atkinson Hyperlegible"/>
                <w:b/>
                <w:color w:val="FFFFFF" w:themeColor="background1"/>
                <w:sz w:val="24"/>
                <w:szCs w:val="24"/>
              </w:rPr>
              <w:t xml:space="preserve">Andre symptomer på vitamin B12-mangel </w:t>
            </w:r>
          </w:p>
          <w:p w14:paraId="00000056" w14:textId="77777777" w:rsidR="00A30A5A" w:rsidRPr="00E835B5" w:rsidRDefault="00A30A5A">
            <w:pPr>
              <w:rPr>
                <w:rFonts w:ascii="Atkinson Hyperlegible" w:hAnsi="Atkinson Hyperlegible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1450"/>
          </w:tcPr>
          <w:p w14:paraId="00000057" w14:textId="77777777" w:rsidR="00A30A5A" w:rsidRPr="00E835B5" w:rsidRDefault="00BD6EB1">
            <w:pPr>
              <w:rPr>
                <w:rFonts w:ascii="Atkinson Hyperlegible" w:hAnsi="Atkinson Hyperlegible"/>
                <w:b/>
                <w:color w:val="FFFFFF" w:themeColor="background1"/>
                <w:sz w:val="24"/>
                <w:szCs w:val="24"/>
              </w:rPr>
            </w:pPr>
            <w:r w:rsidRPr="00E835B5">
              <w:rPr>
                <w:rFonts w:ascii="Atkinson Hyperlegible" w:hAnsi="Atkinson Hyperlegible"/>
                <w:b/>
                <w:color w:val="FFFFFF" w:themeColor="background1"/>
                <w:sz w:val="24"/>
                <w:szCs w:val="24"/>
              </w:rPr>
              <w:t>Makrocytose</w:t>
            </w:r>
          </w:p>
        </w:tc>
      </w:tr>
      <w:tr w:rsidR="00A30A5A" w:rsidRPr="00192A01" w14:paraId="568BAB53" w14:textId="77777777" w:rsidTr="00260D5B">
        <w:trPr>
          <w:trHeight w:val="300"/>
        </w:trPr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6F5FF"/>
          </w:tcPr>
          <w:p w14:paraId="00000058" w14:textId="77777777" w:rsidR="00A30A5A" w:rsidRPr="00192A01" w:rsidRDefault="00BD6EB1">
            <w:pPr>
              <w:rPr>
                <w:rFonts w:ascii="Atkinson Hyperlegible" w:hAnsi="Atkinson Hyperlegible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color w:val="000000"/>
                <w:sz w:val="24"/>
                <w:szCs w:val="24"/>
              </w:rPr>
              <w:t>Klinisk kontrol efter 1, 3 og 6 måneders behandling, da reversering af neurologiske symptomer kan tage op til 6 måneder.</w:t>
            </w: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6F5FF"/>
          </w:tcPr>
          <w:p w14:paraId="00000059" w14:textId="77777777" w:rsidR="00A30A5A" w:rsidRPr="00192A01" w:rsidRDefault="00BD6EB1">
            <w:pPr>
              <w:rPr>
                <w:rFonts w:ascii="Atkinson Hyperlegible" w:hAnsi="Atkinson Hyperlegible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color w:val="000000"/>
                <w:sz w:val="24"/>
                <w:szCs w:val="24"/>
              </w:rPr>
              <w:t>Klinisk kontrol efter 3 måneder.</w:t>
            </w: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6F5FF"/>
          </w:tcPr>
          <w:p w14:paraId="0000005A" w14:textId="77777777" w:rsidR="00A30A5A" w:rsidRPr="00192A01" w:rsidRDefault="00BD6EB1">
            <w:pPr>
              <w:rPr>
                <w:rFonts w:ascii="Atkinson Hyperlegible" w:hAnsi="Atkinson Hyperlegible"/>
                <w:sz w:val="24"/>
                <w:szCs w:val="24"/>
              </w:rPr>
            </w:pPr>
            <w:r w:rsidRPr="00192A01">
              <w:rPr>
                <w:rFonts w:ascii="Atkinson Hyperlegible" w:hAnsi="Atkinson Hyperlegible"/>
                <w:color w:val="000000"/>
                <w:sz w:val="24"/>
                <w:szCs w:val="24"/>
              </w:rPr>
              <w:t>Kontroller Hæmoglobin;B Reticulocytter;B, Folat;P, Ferritin;P efter 2 uger. Revurder diagnosen ved manglende retikulocytose. Kontroller Hæmoglobin;B, Erytrocytvolumen (middel) (MCV);B Hæmoglobinindhold (MCH);Erc(B) og Ferritin;P efter 2-3 måneder. Anæmi og MCV bør være normaliseret.</w:t>
            </w:r>
          </w:p>
        </w:tc>
      </w:tr>
    </w:tbl>
    <w:p w14:paraId="6FB69F6E" w14:textId="77777777" w:rsidR="00E835B5" w:rsidRPr="00E835B5" w:rsidRDefault="00E835B5">
      <w:pPr>
        <w:rPr>
          <w:rFonts w:ascii="Atkinson Hyperlegible" w:hAnsi="Atkinson Hyperlegible"/>
          <w:sz w:val="2"/>
          <w:szCs w:val="2"/>
        </w:rPr>
      </w:pPr>
    </w:p>
    <w:p w14:paraId="59072D09" w14:textId="1B1780D8" w:rsidR="00C92F2A" w:rsidRPr="00192A01" w:rsidRDefault="00C92F2A">
      <w:pPr>
        <w:rPr>
          <w:rFonts w:ascii="Atkinson Hyperlegible" w:eastAsia="Times New Roman" w:hAnsi="Atkinson Hyperlegible" w:cs="Times New Roman"/>
          <w:color w:val="000000"/>
          <w:sz w:val="24"/>
          <w:szCs w:val="24"/>
        </w:rPr>
      </w:pPr>
      <w:r w:rsidRPr="00192A01">
        <w:rPr>
          <w:rFonts w:ascii="Atkinson Hyperlegible" w:hAnsi="Atkinson Hyperlegible"/>
          <w:sz w:val="24"/>
          <w:szCs w:val="24"/>
        </w:rPr>
        <w:t xml:space="preserve">Efter de i skemaet angivne tidsintervaller foretages der kun </w:t>
      </w:r>
      <w:r w:rsidRPr="00192A01">
        <w:rPr>
          <w:rFonts w:ascii="Atkinson Hyperlegible" w:hAnsi="Atkinson Hyperlegible"/>
          <w:color w:val="000000"/>
          <w:sz w:val="24"/>
          <w:szCs w:val="24"/>
        </w:rPr>
        <w:t xml:space="preserve">kontrolmåling af vitamin B12 i plasma </w:t>
      </w:r>
      <w:r w:rsidRPr="00192A01">
        <w:rPr>
          <w:rFonts w:ascii="Atkinson Hyperlegible" w:hAnsi="Atkinson Hyperlegible"/>
          <w:sz w:val="24"/>
          <w:szCs w:val="24"/>
        </w:rPr>
        <w:t>ved recidiv</w:t>
      </w:r>
      <w:r w:rsidR="00A93EF7" w:rsidRPr="00192A01">
        <w:rPr>
          <w:rFonts w:ascii="Atkinson Hyperlegible" w:hAnsi="Atkinson Hyperlegible"/>
          <w:sz w:val="24"/>
          <w:szCs w:val="24"/>
        </w:rPr>
        <w:t xml:space="preserve"> </w:t>
      </w:r>
      <w:r w:rsidRPr="00192A01">
        <w:rPr>
          <w:rFonts w:ascii="Atkinson Hyperlegible" w:hAnsi="Atkinson Hyperlegible"/>
          <w:sz w:val="24"/>
          <w:szCs w:val="24"/>
        </w:rPr>
        <w:t>eller forværring af symptomerne.</w:t>
      </w:r>
    </w:p>
    <w:p w14:paraId="0000005C" w14:textId="3C2916C7" w:rsidR="00A30A5A" w:rsidRPr="004A124C" w:rsidRDefault="00C92F2A">
      <w:pPr>
        <w:pStyle w:val="Overskrift2"/>
        <w:spacing w:after="240"/>
        <w:rPr>
          <w:rFonts w:ascii="Atkinson Hyperlegible" w:hAnsi="Atkinson Hyperlegible"/>
          <w:b/>
          <w:color w:val="001450"/>
          <w:sz w:val="28"/>
          <w:szCs w:val="28"/>
        </w:rPr>
      </w:pPr>
      <w:r w:rsidRPr="00E835B5">
        <w:rPr>
          <w:rFonts w:ascii="Atkinson Hyperlegible" w:hAnsi="Atkinson Hyperlegible"/>
          <w:b/>
          <w:color w:val="001450"/>
          <w:sz w:val="24"/>
          <w:szCs w:val="24"/>
        </w:rPr>
        <w:br/>
      </w:r>
      <w:r w:rsidR="00BD6EB1" w:rsidRPr="004A124C">
        <w:rPr>
          <w:rFonts w:ascii="Atkinson Hyperlegible" w:hAnsi="Atkinson Hyperlegible"/>
          <w:b/>
          <w:color w:val="001450"/>
          <w:sz w:val="28"/>
          <w:szCs w:val="28"/>
        </w:rPr>
        <w:t xml:space="preserve">Forebyggende </w:t>
      </w:r>
      <w:r w:rsidR="00C51B64">
        <w:rPr>
          <w:rFonts w:ascii="Atkinson Hyperlegible" w:hAnsi="Atkinson Hyperlegible"/>
          <w:b/>
          <w:color w:val="001450"/>
          <w:sz w:val="28"/>
          <w:szCs w:val="28"/>
        </w:rPr>
        <w:t>kost</w:t>
      </w:r>
      <w:r w:rsidR="00BD6EB1" w:rsidRPr="004A124C">
        <w:rPr>
          <w:rFonts w:ascii="Atkinson Hyperlegible" w:hAnsi="Atkinson Hyperlegible"/>
          <w:b/>
          <w:color w:val="001450"/>
          <w:sz w:val="28"/>
          <w:szCs w:val="28"/>
        </w:rPr>
        <w:t>tilskud</w:t>
      </w:r>
    </w:p>
    <w:p w14:paraId="0000005D" w14:textId="77777777" w:rsidR="00A30A5A" w:rsidRPr="004A124C" w:rsidRDefault="00BD6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tkinson Hyperlegible" w:hAnsi="Atkinson Hyperlegible"/>
          <w:color w:val="000000"/>
          <w:sz w:val="24"/>
          <w:szCs w:val="24"/>
        </w:rPr>
      </w:pPr>
      <w:r w:rsidRPr="004A124C">
        <w:rPr>
          <w:rFonts w:ascii="Atkinson Hyperlegible" w:hAnsi="Atkinson Hyperlegible"/>
          <w:color w:val="000000"/>
          <w:sz w:val="24"/>
          <w:szCs w:val="24"/>
        </w:rPr>
        <w:t>Som minimum anbefales 2,4 mikrogram vitamin B12 (findes i mange vitaminpiller) til alle med begrænset eller ingen animalsk kost. Vitamin B12-optagelsen aftager med alderen. Hos småt spisende ældre bør man overveje risikoen for vitamin B12-mangel og evt. anbefale indtag af vitamin B12 kosttilskud eller indtag af berigede fødevarer (f.eks. berigede spiseklare morgenmadsprodukter) [18–20].</w:t>
      </w:r>
    </w:p>
    <w:p w14:paraId="0000005F" w14:textId="40D1B946" w:rsidR="00A30A5A" w:rsidRPr="004A124C" w:rsidRDefault="00BD6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tkinson Hyperlegible" w:hAnsi="Atkinson Hyperlegible"/>
          <w:color w:val="000000"/>
          <w:sz w:val="24"/>
          <w:szCs w:val="24"/>
        </w:rPr>
      </w:pPr>
      <w:r w:rsidRPr="004A124C">
        <w:rPr>
          <w:rFonts w:ascii="Atkinson Hyperlegible" w:hAnsi="Atkinson Hyperlegible"/>
          <w:color w:val="000000"/>
          <w:sz w:val="24"/>
          <w:szCs w:val="24"/>
        </w:rPr>
        <w:t>Patienter, der har fået foretaget gastric bypass eller gastric sleeve-ope</w:t>
      </w:r>
      <w:r w:rsidR="00260D5B">
        <w:rPr>
          <w:rFonts w:ascii="Atkinson Hyperlegible" w:hAnsi="Atkinson Hyperlegible"/>
          <w:color w:val="000000"/>
          <w:sz w:val="24"/>
          <w:szCs w:val="24"/>
        </w:rPr>
        <w:t>ration</w:t>
      </w:r>
      <w:r w:rsidR="0013798E">
        <w:rPr>
          <w:rFonts w:ascii="Atkinson Hyperlegible" w:hAnsi="Atkinson Hyperlegible"/>
          <w:color w:val="000000"/>
          <w:sz w:val="24"/>
          <w:szCs w:val="24"/>
        </w:rPr>
        <w:t>,</w:t>
      </w:r>
      <w:r w:rsidR="00C92F2A" w:rsidRPr="004A124C">
        <w:rPr>
          <w:rFonts w:ascii="Atkinson Hyperlegible" w:hAnsi="Atkinson Hyperlegible" w:cstheme="minorHAnsi"/>
          <w:sz w:val="24"/>
          <w:szCs w:val="24"/>
        </w:rPr>
        <w:t xml:space="preserve"> </w:t>
      </w:r>
      <w:r w:rsidRPr="004A124C">
        <w:rPr>
          <w:rFonts w:ascii="Atkinson Hyperlegible" w:hAnsi="Atkinson Hyperlegible"/>
          <w:color w:val="000000"/>
          <w:sz w:val="24"/>
          <w:szCs w:val="24"/>
        </w:rPr>
        <w:t xml:space="preserve">bør få 1 mg oral vitamin B12 dagligt </w:t>
      </w:r>
      <w:r w:rsidRPr="004A124C">
        <w:rPr>
          <w:rFonts w:ascii="Atkinson Hyperlegible" w:hAnsi="Atkinson Hyperlegible"/>
          <w:sz w:val="24"/>
          <w:szCs w:val="24"/>
        </w:rPr>
        <w:t>livslangt</w:t>
      </w:r>
      <w:r w:rsidRPr="004A124C">
        <w:rPr>
          <w:rFonts w:ascii="Atkinson Hyperlegible" w:hAnsi="Atkinson Hyperlegible"/>
          <w:color w:val="000000"/>
          <w:sz w:val="24"/>
          <w:szCs w:val="24"/>
        </w:rPr>
        <w:t xml:space="preserve"> [21].  </w:t>
      </w:r>
    </w:p>
    <w:p w14:paraId="5EE30C28" w14:textId="77777777" w:rsidR="00192A01" w:rsidRPr="00E835B5" w:rsidRDefault="00192A01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Atkinson Hyperlegible" w:hAnsi="Atkinson Hyperlegible" w:cs="Calibri Light"/>
          <w:b/>
          <w:color w:val="001450"/>
          <w:sz w:val="24"/>
          <w:szCs w:val="24"/>
        </w:rPr>
      </w:pPr>
    </w:p>
    <w:p w14:paraId="00000061" w14:textId="394D2075" w:rsidR="00A30A5A" w:rsidRPr="00E835B5" w:rsidRDefault="00BD6EB1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Atkinson Hyperlegible" w:hAnsi="Atkinson Hyperlegible" w:cs="Calibri Light"/>
          <w:b/>
          <w:color w:val="001450"/>
          <w:sz w:val="28"/>
          <w:szCs w:val="28"/>
        </w:rPr>
      </w:pPr>
      <w:r w:rsidRPr="00E835B5">
        <w:rPr>
          <w:rFonts w:ascii="Atkinson Hyperlegible" w:hAnsi="Atkinson Hyperlegible" w:cs="Calibri Light"/>
          <w:b/>
          <w:color w:val="001450"/>
          <w:sz w:val="28"/>
          <w:szCs w:val="28"/>
        </w:rPr>
        <w:t>Kildemateriale</w:t>
      </w:r>
    </w:p>
    <w:p w14:paraId="00000063" w14:textId="640A373F" w:rsidR="00A30A5A" w:rsidRPr="00192A01" w:rsidRDefault="00BD6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tkinson Hyperlegible" w:hAnsi="Atkinson Hyperlegible"/>
          <w:color w:val="000000"/>
          <w:sz w:val="24"/>
          <w:szCs w:val="24"/>
        </w:rPr>
      </w:pPr>
      <w:r w:rsidRPr="00192A01">
        <w:rPr>
          <w:rFonts w:ascii="Atkinson Hyperlegible" w:hAnsi="Atkinson Hyperlegible"/>
          <w:color w:val="000000"/>
          <w:sz w:val="24"/>
          <w:szCs w:val="24"/>
        </w:rPr>
        <w:t>Evidensgrundlag og referencer findes på dsam.dk.</w:t>
      </w:r>
    </w:p>
    <w:p w14:paraId="00000064" w14:textId="1E598892" w:rsidR="00A30A5A" w:rsidRPr="00192A01" w:rsidRDefault="00BD6E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tkinson Hyperlegible" w:hAnsi="Atkinson Hyperlegible"/>
          <w:color w:val="000000"/>
          <w:sz w:val="24"/>
          <w:szCs w:val="24"/>
        </w:rPr>
      </w:pPr>
      <w:r w:rsidRPr="00192A01">
        <w:rPr>
          <w:rFonts w:ascii="Atkinson Hyperlegible" w:hAnsi="Atkinson Hyperlegible"/>
          <w:color w:val="000000"/>
          <w:sz w:val="24"/>
          <w:szCs w:val="24"/>
        </w:rPr>
        <w:t xml:space="preserve">DSAM, </w:t>
      </w:r>
      <w:r w:rsidR="004172C7">
        <w:rPr>
          <w:rFonts w:ascii="Atkinson Hyperlegible" w:hAnsi="Atkinson Hyperlegible"/>
          <w:color w:val="000000"/>
          <w:sz w:val="24"/>
          <w:szCs w:val="24"/>
        </w:rPr>
        <w:t>decem</w:t>
      </w:r>
      <w:r w:rsidRPr="00192A01">
        <w:rPr>
          <w:rFonts w:ascii="Atkinson Hyperlegible" w:hAnsi="Atkinson Hyperlegible"/>
          <w:color w:val="000000"/>
          <w:sz w:val="24"/>
          <w:szCs w:val="24"/>
        </w:rPr>
        <w:t>ber 2025 – Jørgen Peter Ærthøj, Morten Ohrt, Charlotte Hjort Jørgensen, Tina Parkner, Emma Grundtvig Gram og Bent Struer Lind</w:t>
      </w:r>
    </w:p>
    <w:p w14:paraId="44BE7D0F" w14:textId="77777777" w:rsidR="000B5B67" w:rsidRPr="00192A01" w:rsidRDefault="000B5B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tkinson Hyperlegible" w:hAnsi="Atkinson Hyperlegible"/>
          <w:color w:val="000000"/>
          <w:sz w:val="24"/>
          <w:szCs w:val="24"/>
        </w:rPr>
      </w:pPr>
    </w:p>
    <w:p w14:paraId="513327FA" w14:textId="77777777" w:rsidR="00260D5B" w:rsidRDefault="00260D5B">
      <w:pPr>
        <w:jc w:val="both"/>
        <w:rPr>
          <w:rFonts w:ascii="Atkinson Hyperlegible" w:hAnsi="Atkinson Hyperlegible"/>
          <w:b/>
          <w:bCs/>
          <w:color w:val="000000"/>
          <w:sz w:val="32"/>
          <w:szCs w:val="32"/>
        </w:rPr>
      </w:pPr>
    </w:p>
    <w:p w14:paraId="2CA0CEE2" w14:textId="77777777" w:rsidR="0013798E" w:rsidRDefault="0013798E">
      <w:pPr>
        <w:jc w:val="both"/>
        <w:rPr>
          <w:rFonts w:ascii="Atkinson Hyperlegible" w:hAnsi="Atkinson Hyperlegible"/>
          <w:b/>
          <w:bCs/>
          <w:color w:val="000000"/>
          <w:sz w:val="32"/>
          <w:szCs w:val="32"/>
        </w:rPr>
      </w:pPr>
    </w:p>
    <w:p w14:paraId="0000006F" w14:textId="0A0DDF10" w:rsidR="00A30A5A" w:rsidRPr="00E835B5" w:rsidRDefault="00BD6EB1">
      <w:pPr>
        <w:jc w:val="both"/>
        <w:rPr>
          <w:rFonts w:ascii="Atkinson Hyperlegible" w:hAnsi="Atkinson Hyperlegible"/>
          <w:b/>
          <w:bCs/>
          <w:color w:val="000000"/>
          <w:sz w:val="32"/>
          <w:szCs w:val="32"/>
        </w:rPr>
      </w:pPr>
      <w:r w:rsidRPr="00E835B5">
        <w:rPr>
          <w:rFonts w:ascii="Atkinson Hyperlegible" w:hAnsi="Atkinson Hyperlegible"/>
          <w:b/>
          <w:bCs/>
          <w:color w:val="000000"/>
          <w:sz w:val="32"/>
          <w:szCs w:val="32"/>
        </w:rPr>
        <w:lastRenderedPageBreak/>
        <w:t>Til DSAM’s hjemmeside</w:t>
      </w:r>
    </w:p>
    <w:p w14:paraId="00000070" w14:textId="77777777" w:rsidR="00A30A5A" w:rsidRPr="00E835B5" w:rsidRDefault="00BD6EB1">
      <w:pPr>
        <w:pStyle w:val="Overskrift1"/>
        <w:rPr>
          <w:rFonts w:ascii="Atkinson Hyperlegible" w:hAnsi="Atkinson Hyperlegible"/>
          <w:b/>
          <w:bCs/>
          <w:color w:val="001450"/>
          <w:sz w:val="28"/>
          <w:szCs w:val="28"/>
        </w:rPr>
      </w:pPr>
      <w:r w:rsidRPr="00E835B5">
        <w:rPr>
          <w:rFonts w:ascii="Atkinson Hyperlegible" w:hAnsi="Atkinson Hyperlegible"/>
          <w:b/>
          <w:bCs/>
          <w:color w:val="001450"/>
          <w:sz w:val="28"/>
          <w:szCs w:val="28"/>
        </w:rPr>
        <w:t>FAQta-ark: Diagnostik og behandling af vitamin B12-mangel i almen praksis</w:t>
      </w:r>
    </w:p>
    <w:p w14:paraId="00000071" w14:textId="77777777" w:rsidR="00A30A5A" w:rsidRPr="00192A01" w:rsidRDefault="00A30A5A">
      <w:pPr>
        <w:jc w:val="both"/>
        <w:rPr>
          <w:rFonts w:ascii="Atkinson Hyperlegible" w:hAnsi="Atkinson Hyperlegible"/>
          <w:sz w:val="24"/>
          <w:szCs w:val="24"/>
        </w:rPr>
      </w:pPr>
    </w:p>
    <w:p w14:paraId="00000072" w14:textId="77777777" w:rsidR="00A30A5A" w:rsidRPr="00E835B5" w:rsidRDefault="00BD6EB1">
      <w:pPr>
        <w:pStyle w:val="Overskrift2"/>
        <w:spacing w:after="240"/>
        <w:rPr>
          <w:rFonts w:ascii="Atkinson Hyperlegible" w:hAnsi="Atkinson Hyperlegible"/>
          <w:b/>
          <w:bCs/>
          <w:color w:val="001450"/>
          <w:sz w:val="28"/>
          <w:szCs w:val="28"/>
        </w:rPr>
      </w:pPr>
      <w:r w:rsidRPr="00E835B5">
        <w:rPr>
          <w:rFonts w:ascii="Atkinson Hyperlegible" w:hAnsi="Atkinson Hyperlegible"/>
          <w:b/>
          <w:bCs/>
          <w:color w:val="001450"/>
          <w:sz w:val="28"/>
          <w:szCs w:val="28"/>
        </w:rPr>
        <w:t>Baggrund</w:t>
      </w:r>
    </w:p>
    <w:p w14:paraId="00000073" w14:textId="77777777" w:rsidR="00A30A5A" w:rsidRPr="00192A01" w:rsidRDefault="00BD6EB1">
      <w:pPr>
        <w:spacing w:line="256" w:lineRule="auto"/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sz w:val="24"/>
          <w:szCs w:val="24"/>
        </w:rPr>
        <w:t xml:space="preserve">Måling af B12 foregår ofte i almen praksis. Vitamin B12-mangel er hyppig og kan give vage, ukarakteristiske symptomer. Lægehåndbogen indeholder en vejledning om B12-mangel, men udredning og behandling er stadig udfordrende, bl.a. fordi prøverne generelt tolkes forskelligt i de enkelte klinikker, på tværs af klinikker og blandt regionernes laboratorier.  </w:t>
      </w:r>
    </w:p>
    <w:p w14:paraId="00000074" w14:textId="77777777" w:rsidR="00A30A5A" w:rsidRPr="00192A01" w:rsidRDefault="00BD6EB1">
      <w:pPr>
        <w:spacing w:line="256" w:lineRule="auto"/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sz w:val="24"/>
          <w:szCs w:val="24"/>
        </w:rPr>
        <w:t>Derfor nedsatte DSAM en arbejdsgruppe, som skulle afdække området og komme med anbefalinger om udredning, behandling, opfølgning og seponering i almen praksis.</w:t>
      </w:r>
    </w:p>
    <w:p w14:paraId="00000075" w14:textId="77777777" w:rsidR="00A30A5A" w:rsidRPr="00192A01" w:rsidRDefault="00BD6EB1">
      <w:pPr>
        <w:spacing w:line="256" w:lineRule="auto"/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sz w:val="24"/>
          <w:szCs w:val="24"/>
        </w:rPr>
        <w:t>Arbejdsgruppen bestod af tre praktiserende læger (speciallæger i almen medicin), en ph.d.- studerende fra det almenmedicinske forskningsmiljø og to speciallæger, som var udpeget af Dansk Selskab for Klinisk Biokemi.</w:t>
      </w:r>
    </w:p>
    <w:p w14:paraId="00000076" w14:textId="77777777" w:rsidR="00A30A5A" w:rsidRPr="00192A01" w:rsidRDefault="00A30A5A">
      <w:pPr>
        <w:spacing w:after="0" w:line="256" w:lineRule="auto"/>
        <w:rPr>
          <w:rFonts w:ascii="Atkinson Hyperlegible" w:hAnsi="Atkinson Hyperlegible"/>
          <w:sz w:val="24"/>
          <w:szCs w:val="24"/>
        </w:rPr>
      </w:pPr>
    </w:p>
    <w:p w14:paraId="00000077" w14:textId="77777777" w:rsidR="00A30A5A" w:rsidRPr="00192A01" w:rsidRDefault="00BD6EB1">
      <w:pPr>
        <w:pStyle w:val="Overskrift2"/>
        <w:spacing w:after="240"/>
        <w:rPr>
          <w:rFonts w:ascii="Atkinson Hyperlegible" w:hAnsi="Atkinson Hyperlegible"/>
          <w:b/>
          <w:bCs/>
          <w:i/>
          <w:color w:val="001450"/>
        </w:rPr>
      </w:pPr>
      <w:r w:rsidRPr="00E835B5">
        <w:rPr>
          <w:rFonts w:ascii="Atkinson Hyperlegible" w:hAnsi="Atkinson Hyperlegible"/>
          <w:b/>
          <w:bCs/>
          <w:color w:val="001450"/>
          <w:sz w:val="28"/>
          <w:szCs w:val="28"/>
        </w:rPr>
        <w:t>Evidensgrundlag</w:t>
      </w:r>
    </w:p>
    <w:p w14:paraId="00000078" w14:textId="77777777" w:rsidR="00A30A5A" w:rsidRPr="00192A01" w:rsidRDefault="00BD6EB1">
      <w:pPr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sz w:val="24"/>
          <w:szCs w:val="24"/>
        </w:rPr>
        <w:t>Udredning og behandling af symptomer på vitamin B12-mangel præges af mangel på konsensus – både nationalt og internationalt.</w:t>
      </w:r>
    </w:p>
    <w:p w14:paraId="00000079" w14:textId="77777777" w:rsidR="00A30A5A" w:rsidRPr="00192A01" w:rsidRDefault="00BD6EB1">
      <w:pPr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sz w:val="24"/>
          <w:szCs w:val="24"/>
        </w:rPr>
        <w:t xml:space="preserve">Den 7. december 2023 gennemførte arbejdsgruppen en systematisk litteratursøgning i Medline/PubMed med emne- og søgeord for B12, B12-mangel, test, behandling og seponering. Herefter blev litteraturen gennemgået; ingen af disse studier understøtter én bestemt udredningsmodel.  </w:t>
      </w:r>
    </w:p>
    <w:p w14:paraId="0000007A" w14:textId="77777777" w:rsidR="00A30A5A" w:rsidRPr="00192A01" w:rsidRDefault="00BD6EB1">
      <w:pPr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sz w:val="24"/>
          <w:szCs w:val="24"/>
        </w:rPr>
        <w:t>FAQta-arket er arbejdsgruppens bedste bud på en rationel håndtering af diagnostik og behandling på basis af den foreliggende evidens. De fleste råd er ikke direkte evidensbaserede men arbejdsgruppens anbefalinger.</w:t>
      </w:r>
    </w:p>
    <w:p w14:paraId="0000007B" w14:textId="77777777" w:rsidR="00A30A5A" w:rsidRPr="00192A01" w:rsidRDefault="00BD6EB1">
      <w:pPr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sz w:val="24"/>
          <w:szCs w:val="24"/>
        </w:rPr>
        <w:t>Sammenhængen mellem anbefalinger og eksisterende litteratur er kritisk gennemgået. Der er ikke søgt information om patienternes værdier og -præferencer til udarbejdelsen af dette FAQta-ark.</w:t>
      </w:r>
    </w:p>
    <w:p w14:paraId="0000007C" w14:textId="77777777" w:rsidR="00A30A5A" w:rsidRPr="00192A01" w:rsidRDefault="00A30A5A">
      <w:pPr>
        <w:rPr>
          <w:rFonts w:ascii="Atkinson Hyperlegible" w:hAnsi="Atkinson Hyperlegible"/>
          <w:sz w:val="24"/>
          <w:szCs w:val="24"/>
        </w:rPr>
      </w:pPr>
    </w:p>
    <w:p w14:paraId="0000007D" w14:textId="3518F636" w:rsidR="00A30A5A" w:rsidRDefault="00BD6EB1">
      <w:pPr>
        <w:rPr>
          <w:rFonts w:ascii="Atkinson Hyperlegible" w:hAnsi="Atkinson Hyperlegible"/>
          <w:sz w:val="24"/>
          <w:szCs w:val="24"/>
        </w:rPr>
      </w:pPr>
      <w:r w:rsidRPr="00192A01">
        <w:rPr>
          <w:rFonts w:ascii="Atkinson Hyperlegible" w:hAnsi="Atkinson Hyperlegible"/>
          <w:sz w:val="24"/>
          <w:szCs w:val="24"/>
        </w:rPr>
        <w:t xml:space="preserve">DSAM, </w:t>
      </w:r>
      <w:r w:rsidR="004172C7">
        <w:rPr>
          <w:rFonts w:ascii="Atkinson Hyperlegible" w:hAnsi="Atkinson Hyperlegible"/>
          <w:sz w:val="24"/>
          <w:szCs w:val="24"/>
        </w:rPr>
        <w:t>decem</w:t>
      </w:r>
      <w:r w:rsidRPr="00192A01">
        <w:rPr>
          <w:rFonts w:ascii="Atkinson Hyperlegible" w:hAnsi="Atkinson Hyperlegible"/>
          <w:sz w:val="24"/>
          <w:szCs w:val="24"/>
        </w:rPr>
        <w:t>ber 2025 – Jørgen Peter Ærthøj, Morten Ohrt, Charlotte Hjort Jørgensen, Tina Parkner, Emma Grundtvig Gram og Bent Struer Lind</w:t>
      </w:r>
    </w:p>
    <w:p w14:paraId="547C8BA5" w14:textId="77777777" w:rsidR="00192A01" w:rsidRPr="00192A01" w:rsidRDefault="00192A01">
      <w:pPr>
        <w:rPr>
          <w:rFonts w:ascii="Atkinson Hyperlegible" w:hAnsi="Atkinson Hyperlegible"/>
          <w:sz w:val="24"/>
          <w:szCs w:val="24"/>
        </w:rPr>
      </w:pPr>
    </w:p>
    <w:p w14:paraId="00000081" w14:textId="77777777" w:rsidR="00A30A5A" w:rsidRPr="00E835B5" w:rsidRDefault="00BD6EB1">
      <w:pPr>
        <w:pStyle w:val="Overskrift2"/>
        <w:rPr>
          <w:rFonts w:ascii="Atkinson Hyperlegible" w:hAnsi="Atkinson Hyperlegible"/>
          <w:b/>
          <w:bCs/>
          <w:color w:val="001450"/>
          <w:sz w:val="28"/>
          <w:szCs w:val="28"/>
        </w:rPr>
      </w:pPr>
      <w:r w:rsidRPr="00E835B5">
        <w:rPr>
          <w:rFonts w:ascii="Atkinson Hyperlegible" w:hAnsi="Atkinson Hyperlegible"/>
          <w:b/>
          <w:bCs/>
          <w:color w:val="001450"/>
          <w:sz w:val="28"/>
          <w:szCs w:val="28"/>
        </w:rPr>
        <w:lastRenderedPageBreak/>
        <w:t>Referenceliste</w:t>
      </w:r>
    </w:p>
    <w:p w14:paraId="00000082" w14:textId="7777777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after="220" w:line="240" w:lineRule="auto"/>
        <w:ind w:left="440" w:hanging="440"/>
        <w:rPr>
          <w:rFonts w:ascii="Atkinson Hyperlegible" w:hAnsi="Atkinson Hyperlegible"/>
          <w:color w:val="000000"/>
          <w:lang w:val="en-US"/>
        </w:rPr>
      </w:pPr>
      <w:r w:rsidRPr="00192A01">
        <w:rPr>
          <w:rFonts w:ascii="Atkinson Hyperlegible" w:hAnsi="Atkinson Hyperlegible"/>
          <w:color w:val="000000"/>
        </w:rPr>
        <w:t xml:space="preserve">1. </w:t>
      </w:r>
      <w:r w:rsidRPr="00192A01">
        <w:rPr>
          <w:rFonts w:ascii="Atkinson Hyperlegible" w:hAnsi="Atkinson Hyperlegible"/>
          <w:color w:val="000000"/>
        </w:rPr>
        <w:tab/>
      </w:r>
      <w:hyperlink r:id="rId11">
        <w:r w:rsidRPr="00192A01">
          <w:rPr>
            <w:rFonts w:ascii="Atkinson Hyperlegible" w:hAnsi="Atkinson Hyperlegible"/>
            <w:color w:val="000000"/>
          </w:rPr>
          <w:t xml:space="preserve">Healton EB, Savage DG, Brust JC, </w:t>
        </w:r>
      </w:hyperlink>
      <w:hyperlink r:id="rId12">
        <w:r w:rsidRPr="00192A01">
          <w:rPr>
            <w:rFonts w:ascii="Atkinson Hyperlegible" w:hAnsi="Atkinson Hyperlegible"/>
            <w:i/>
            <w:color w:val="000000"/>
          </w:rPr>
          <w:t>et al.</w:t>
        </w:r>
      </w:hyperlink>
      <w:hyperlink r:id="rId13">
        <w:r w:rsidRPr="00192A01">
          <w:rPr>
            <w:rFonts w:ascii="Atkinson Hyperlegible" w:hAnsi="Atkinson Hyperlegible"/>
            <w:color w:val="000000"/>
          </w:rPr>
          <w:t xml:space="preserve"> </w:t>
        </w:r>
        <w:r w:rsidRPr="00192A01">
          <w:rPr>
            <w:rFonts w:ascii="Atkinson Hyperlegible" w:hAnsi="Atkinson Hyperlegible"/>
            <w:color w:val="000000"/>
            <w:lang w:val="en-US"/>
          </w:rPr>
          <w:t xml:space="preserve">Neurologic aspects of cobalamin deficiency. </w:t>
        </w:r>
      </w:hyperlink>
      <w:hyperlink r:id="rId14">
        <w:r w:rsidRPr="00192A01">
          <w:rPr>
            <w:rFonts w:ascii="Atkinson Hyperlegible" w:hAnsi="Atkinson Hyperlegible"/>
            <w:i/>
            <w:color w:val="000000"/>
            <w:lang w:val="en-US"/>
          </w:rPr>
          <w:t>Medicine</w:t>
        </w:r>
      </w:hyperlink>
      <w:hyperlink r:id="rId15">
        <w:r w:rsidRPr="00192A01">
          <w:rPr>
            <w:rFonts w:ascii="Atkinson Hyperlegible" w:hAnsi="Atkinson Hyperlegible"/>
            <w:color w:val="000000"/>
            <w:lang w:val="en-US"/>
          </w:rPr>
          <w:t xml:space="preserve">. 1991;70:229–45. doi: </w:t>
        </w:r>
      </w:hyperlink>
      <w:hyperlink r:id="rId16">
        <w:r w:rsidRPr="00192A01">
          <w:rPr>
            <w:rFonts w:ascii="Atkinson Hyperlegible" w:hAnsi="Atkinson Hyperlegible"/>
            <w:color w:val="000000"/>
            <w:lang w:val="en-US"/>
          </w:rPr>
          <w:t>10.1097/00005792-199107000-00001</w:t>
        </w:r>
      </w:hyperlink>
      <w:r w:rsidRPr="00192A01">
        <w:rPr>
          <w:rFonts w:ascii="Atkinson Hyperlegible" w:hAnsi="Atkinson Hyperlegible"/>
          <w:color w:val="000000"/>
          <w:lang w:val="en-US"/>
        </w:rPr>
        <w:t>.</w:t>
      </w:r>
    </w:p>
    <w:p w14:paraId="00000083" w14:textId="7777777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  <w:lang w:val="en-US"/>
        </w:rPr>
      </w:pPr>
      <w:r w:rsidRPr="00192A01">
        <w:rPr>
          <w:rFonts w:ascii="Atkinson Hyperlegible" w:hAnsi="Atkinson Hyperlegible"/>
          <w:color w:val="000000"/>
          <w:lang w:val="en-US"/>
        </w:rPr>
        <w:t xml:space="preserve">2. </w:t>
      </w:r>
      <w:r w:rsidRPr="00192A01">
        <w:rPr>
          <w:rFonts w:ascii="Atkinson Hyperlegible" w:hAnsi="Atkinson Hyperlegible"/>
          <w:color w:val="000000"/>
          <w:lang w:val="en-US"/>
        </w:rPr>
        <w:tab/>
      </w:r>
      <w:hyperlink r:id="rId17">
        <w:r w:rsidRPr="00192A01">
          <w:rPr>
            <w:rFonts w:ascii="Atkinson Hyperlegible" w:hAnsi="Atkinson Hyperlegible"/>
            <w:color w:val="000000"/>
            <w:lang w:val="en-US"/>
          </w:rPr>
          <w:t xml:space="preserve">Pavlov CS, Damulin IV, Shulpekova YO, </w:t>
        </w:r>
      </w:hyperlink>
      <w:hyperlink r:id="rId18">
        <w:r w:rsidRPr="00192A01">
          <w:rPr>
            <w:rFonts w:ascii="Atkinson Hyperlegible" w:hAnsi="Atkinson Hyperlegible"/>
            <w:i/>
            <w:color w:val="000000"/>
            <w:lang w:val="en-US"/>
          </w:rPr>
          <w:t>et al.</w:t>
        </w:r>
      </w:hyperlink>
      <w:hyperlink r:id="rId19">
        <w:r w:rsidRPr="00192A01">
          <w:rPr>
            <w:rFonts w:ascii="Atkinson Hyperlegible" w:hAnsi="Atkinson Hyperlegible"/>
            <w:color w:val="000000"/>
            <w:lang w:val="en-US"/>
          </w:rPr>
          <w:t xml:space="preserve"> Neurological disorders in vitamin B12 deficiency. </w:t>
        </w:r>
      </w:hyperlink>
      <w:hyperlink r:id="rId20">
        <w:r w:rsidRPr="00192A01">
          <w:rPr>
            <w:rFonts w:ascii="Atkinson Hyperlegible" w:hAnsi="Atkinson Hyperlegible"/>
            <w:i/>
            <w:color w:val="000000"/>
            <w:lang w:val="en-US"/>
          </w:rPr>
          <w:t>Ter Arkh</w:t>
        </w:r>
      </w:hyperlink>
      <w:hyperlink r:id="rId21">
        <w:r w:rsidRPr="00192A01">
          <w:rPr>
            <w:rFonts w:ascii="Atkinson Hyperlegible" w:hAnsi="Atkinson Hyperlegible"/>
            <w:color w:val="000000"/>
            <w:lang w:val="en-US"/>
          </w:rPr>
          <w:t xml:space="preserve">. 2019;91:122–9. doi: </w:t>
        </w:r>
      </w:hyperlink>
      <w:hyperlink r:id="rId22">
        <w:r w:rsidRPr="00192A01">
          <w:rPr>
            <w:rFonts w:ascii="Atkinson Hyperlegible" w:hAnsi="Atkinson Hyperlegible"/>
            <w:color w:val="000000"/>
            <w:lang w:val="en-US"/>
          </w:rPr>
          <w:t>10.26442/00403660.2019.04.000116</w:t>
        </w:r>
      </w:hyperlink>
      <w:r w:rsidRPr="00192A01">
        <w:rPr>
          <w:rFonts w:ascii="Atkinson Hyperlegible" w:hAnsi="Atkinson Hyperlegible"/>
          <w:color w:val="000000"/>
          <w:lang w:val="en-US"/>
        </w:rPr>
        <w:t>.</w:t>
      </w:r>
    </w:p>
    <w:p w14:paraId="00000084" w14:textId="7777777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  <w:lang w:val="en-US"/>
        </w:rPr>
      </w:pPr>
      <w:r w:rsidRPr="00192A01">
        <w:rPr>
          <w:rFonts w:ascii="Atkinson Hyperlegible" w:hAnsi="Atkinson Hyperlegible"/>
          <w:color w:val="000000"/>
          <w:lang w:val="en-US"/>
        </w:rPr>
        <w:t xml:space="preserve">3. </w:t>
      </w:r>
      <w:r w:rsidRPr="00192A01">
        <w:rPr>
          <w:rFonts w:ascii="Atkinson Hyperlegible" w:hAnsi="Atkinson Hyperlegible"/>
          <w:color w:val="000000"/>
          <w:lang w:val="en-US"/>
        </w:rPr>
        <w:tab/>
      </w:r>
      <w:hyperlink r:id="rId23">
        <w:r w:rsidRPr="00192A01">
          <w:rPr>
            <w:rFonts w:ascii="Atkinson Hyperlegible" w:hAnsi="Atkinson Hyperlegible"/>
            <w:color w:val="000000"/>
            <w:lang w:val="en-US"/>
          </w:rPr>
          <w:t xml:space="preserve">Green R, Miller JW. Vitamin B12 deficiency. </w:t>
        </w:r>
      </w:hyperlink>
      <w:hyperlink r:id="rId24">
        <w:r w:rsidRPr="00192A01">
          <w:rPr>
            <w:rFonts w:ascii="Atkinson Hyperlegible" w:hAnsi="Atkinson Hyperlegible"/>
            <w:i/>
            <w:color w:val="000000"/>
            <w:lang w:val="en-US"/>
          </w:rPr>
          <w:t>Vitam Horm</w:t>
        </w:r>
      </w:hyperlink>
      <w:hyperlink r:id="rId25">
        <w:r w:rsidRPr="00192A01">
          <w:rPr>
            <w:rFonts w:ascii="Atkinson Hyperlegible" w:hAnsi="Atkinson Hyperlegible"/>
            <w:color w:val="000000"/>
            <w:lang w:val="en-US"/>
          </w:rPr>
          <w:t xml:space="preserve">. 2022;119:405–39. doi: </w:t>
        </w:r>
      </w:hyperlink>
      <w:hyperlink r:id="rId26">
        <w:r w:rsidRPr="00192A01">
          <w:rPr>
            <w:rFonts w:ascii="Atkinson Hyperlegible" w:hAnsi="Atkinson Hyperlegible"/>
            <w:color w:val="000000"/>
            <w:lang w:val="en-US"/>
          </w:rPr>
          <w:t>10.1016/bs.vh.2022.02.003</w:t>
        </w:r>
      </w:hyperlink>
      <w:r w:rsidRPr="00192A01">
        <w:rPr>
          <w:rFonts w:ascii="Atkinson Hyperlegible" w:hAnsi="Atkinson Hyperlegible"/>
          <w:color w:val="000000"/>
          <w:lang w:val="en-US"/>
        </w:rPr>
        <w:t>.</w:t>
      </w:r>
    </w:p>
    <w:p w14:paraId="00000085" w14:textId="7777777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  <w:lang w:val="en-US"/>
        </w:rPr>
      </w:pPr>
      <w:r w:rsidRPr="00192A01">
        <w:rPr>
          <w:rFonts w:ascii="Atkinson Hyperlegible" w:hAnsi="Atkinson Hyperlegible"/>
          <w:color w:val="000000"/>
          <w:lang w:val="en-US"/>
        </w:rPr>
        <w:t xml:space="preserve">4. </w:t>
      </w:r>
      <w:r w:rsidRPr="00192A01">
        <w:rPr>
          <w:rFonts w:ascii="Atkinson Hyperlegible" w:hAnsi="Atkinson Hyperlegible"/>
          <w:color w:val="000000"/>
          <w:lang w:val="en-US"/>
        </w:rPr>
        <w:tab/>
      </w:r>
      <w:hyperlink r:id="rId27">
        <w:r w:rsidRPr="00192A01">
          <w:rPr>
            <w:rFonts w:ascii="Atkinson Hyperlegible" w:hAnsi="Atkinson Hyperlegible"/>
            <w:color w:val="000000"/>
          </w:rPr>
          <w:t xml:space="preserve">Kennedy KP, Alexander JL, Garakani A, </w:t>
        </w:r>
      </w:hyperlink>
      <w:hyperlink r:id="rId28">
        <w:r w:rsidRPr="00192A01">
          <w:rPr>
            <w:rFonts w:ascii="Atkinson Hyperlegible" w:hAnsi="Atkinson Hyperlegible"/>
            <w:i/>
            <w:color w:val="000000"/>
          </w:rPr>
          <w:t>et al.</w:t>
        </w:r>
      </w:hyperlink>
      <w:hyperlink r:id="rId29">
        <w:r w:rsidRPr="00192A01">
          <w:rPr>
            <w:rFonts w:ascii="Atkinson Hyperlegible" w:hAnsi="Atkinson Hyperlegible"/>
            <w:color w:val="000000"/>
          </w:rPr>
          <w:t xml:space="preserve"> </w:t>
        </w:r>
        <w:r w:rsidRPr="00192A01">
          <w:rPr>
            <w:rFonts w:ascii="Atkinson Hyperlegible" w:hAnsi="Atkinson Hyperlegible"/>
            <w:color w:val="000000"/>
            <w:lang w:val="en-US"/>
          </w:rPr>
          <w:t xml:space="preserve">Vitamin B12 Supplementation in Psychiatric Practice. </w:t>
        </w:r>
      </w:hyperlink>
      <w:hyperlink r:id="rId30">
        <w:r w:rsidRPr="00192A01">
          <w:rPr>
            <w:rFonts w:ascii="Atkinson Hyperlegible" w:hAnsi="Atkinson Hyperlegible"/>
            <w:i/>
            <w:color w:val="000000"/>
            <w:lang w:val="en-US"/>
          </w:rPr>
          <w:t>Curr Psychiatry Rep</w:t>
        </w:r>
      </w:hyperlink>
      <w:hyperlink r:id="rId31">
        <w:r w:rsidRPr="00192A01">
          <w:rPr>
            <w:rFonts w:ascii="Atkinson Hyperlegible" w:hAnsi="Atkinson Hyperlegible"/>
            <w:color w:val="000000"/>
            <w:lang w:val="en-US"/>
          </w:rPr>
          <w:t xml:space="preserve">. 2024;26:265–72. doi: </w:t>
        </w:r>
      </w:hyperlink>
      <w:hyperlink r:id="rId32">
        <w:r w:rsidRPr="00192A01">
          <w:rPr>
            <w:rFonts w:ascii="Atkinson Hyperlegible" w:hAnsi="Atkinson Hyperlegible"/>
            <w:color w:val="000000"/>
            <w:lang w:val="en-US"/>
          </w:rPr>
          <w:t>10.1007/s11920-024-01505-4</w:t>
        </w:r>
      </w:hyperlink>
      <w:r w:rsidRPr="00192A01">
        <w:rPr>
          <w:rFonts w:ascii="Atkinson Hyperlegible" w:hAnsi="Atkinson Hyperlegible"/>
          <w:color w:val="000000"/>
          <w:lang w:val="en-US"/>
        </w:rPr>
        <w:t>.</w:t>
      </w:r>
    </w:p>
    <w:p w14:paraId="00000086" w14:textId="77777777" w:rsidR="00A30A5A" w:rsidRPr="0013798E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</w:rPr>
      </w:pPr>
      <w:r w:rsidRPr="00192A01">
        <w:rPr>
          <w:rFonts w:ascii="Atkinson Hyperlegible" w:hAnsi="Atkinson Hyperlegible"/>
          <w:color w:val="000000"/>
          <w:lang w:val="en-US"/>
        </w:rPr>
        <w:t xml:space="preserve">5. </w:t>
      </w:r>
      <w:r w:rsidRPr="00192A01">
        <w:rPr>
          <w:rFonts w:ascii="Atkinson Hyperlegible" w:hAnsi="Atkinson Hyperlegible"/>
          <w:color w:val="000000"/>
          <w:lang w:val="en-US"/>
        </w:rPr>
        <w:tab/>
      </w:r>
      <w:hyperlink r:id="rId33">
        <w:r w:rsidRPr="00192A01">
          <w:rPr>
            <w:rFonts w:ascii="Atkinson Hyperlegible" w:hAnsi="Atkinson Hyperlegible"/>
            <w:color w:val="000000"/>
          </w:rPr>
          <w:t xml:space="preserve">Lindenbaum J, Healton EB, Savage DG, </w:t>
        </w:r>
      </w:hyperlink>
      <w:hyperlink r:id="rId34">
        <w:r w:rsidRPr="00192A01">
          <w:rPr>
            <w:rFonts w:ascii="Atkinson Hyperlegible" w:hAnsi="Atkinson Hyperlegible"/>
            <w:i/>
            <w:color w:val="000000"/>
          </w:rPr>
          <w:t>et al.</w:t>
        </w:r>
      </w:hyperlink>
      <w:hyperlink r:id="rId35">
        <w:r w:rsidRPr="00192A01">
          <w:rPr>
            <w:rFonts w:ascii="Atkinson Hyperlegible" w:hAnsi="Atkinson Hyperlegible"/>
            <w:color w:val="000000"/>
          </w:rPr>
          <w:t xml:space="preserve"> </w:t>
        </w:r>
        <w:r w:rsidRPr="00192A01">
          <w:rPr>
            <w:rFonts w:ascii="Atkinson Hyperlegible" w:hAnsi="Atkinson Hyperlegible"/>
            <w:color w:val="000000"/>
            <w:lang w:val="en-US"/>
          </w:rPr>
          <w:t xml:space="preserve">Neuropsychiatric disorders caused by cobalamin deficiency in the absence of anemia or macrocytosis. </w:t>
        </w:r>
      </w:hyperlink>
      <w:hyperlink r:id="rId36">
        <w:r w:rsidRPr="0013798E">
          <w:rPr>
            <w:rFonts w:ascii="Atkinson Hyperlegible" w:hAnsi="Atkinson Hyperlegible"/>
            <w:i/>
            <w:color w:val="000000"/>
          </w:rPr>
          <w:t>N Engl J Med</w:t>
        </w:r>
      </w:hyperlink>
      <w:hyperlink r:id="rId37">
        <w:r w:rsidRPr="0013798E">
          <w:rPr>
            <w:rFonts w:ascii="Atkinson Hyperlegible" w:hAnsi="Atkinson Hyperlegible"/>
            <w:color w:val="000000"/>
          </w:rPr>
          <w:t xml:space="preserve">. 1988;318:1720–8. doi: </w:t>
        </w:r>
      </w:hyperlink>
      <w:hyperlink r:id="rId38">
        <w:r w:rsidRPr="0013798E">
          <w:rPr>
            <w:rFonts w:ascii="Atkinson Hyperlegible" w:hAnsi="Atkinson Hyperlegible"/>
            <w:color w:val="000000"/>
          </w:rPr>
          <w:t>10.1056/NEJM198806303182604</w:t>
        </w:r>
      </w:hyperlink>
      <w:r w:rsidRPr="0013798E">
        <w:rPr>
          <w:rFonts w:ascii="Atkinson Hyperlegible" w:hAnsi="Atkinson Hyperlegible"/>
          <w:color w:val="000000"/>
        </w:rPr>
        <w:t>.</w:t>
      </w:r>
    </w:p>
    <w:p w14:paraId="00000087" w14:textId="7777777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</w:rPr>
      </w:pPr>
      <w:r w:rsidRPr="0013798E">
        <w:rPr>
          <w:rFonts w:ascii="Atkinson Hyperlegible" w:hAnsi="Atkinson Hyperlegible"/>
          <w:color w:val="000000"/>
        </w:rPr>
        <w:t>6 .</w:t>
      </w:r>
      <w:r w:rsidRPr="0013798E">
        <w:rPr>
          <w:rFonts w:ascii="Atkinson Hyperlegible" w:hAnsi="Atkinson Hyperlegible"/>
          <w:color w:val="000000"/>
        </w:rPr>
        <w:tab/>
      </w:r>
      <w:hyperlink r:id="rId39">
        <w:r w:rsidRPr="00192A01">
          <w:rPr>
            <w:rFonts w:ascii="Atkinson Hyperlegible" w:hAnsi="Atkinson Hyperlegible"/>
            <w:color w:val="000000"/>
          </w:rPr>
          <w:t xml:space="preserve">Wolffenbuttel BH, Owen PJ, Ward M, </w:t>
        </w:r>
      </w:hyperlink>
      <w:hyperlink r:id="rId40">
        <w:r w:rsidRPr="00192A01">
          <w:rPr>
            <w:rFonts w:ascii="Atkinson Hyperlegible" w:hAnsi="Atkinson Hyperlegible"/>
            <w:i/>
            <w:color w:val="000000"/>
          </w:rPr>
          <w:t>et al.</w:t>
        </w:r>
      </w:hyperlink>
      <w:hyperlink r:id="rId41">
        <w:r w:rsidRPr="00192A01">
          <w:rPr>
            <w:rFonts w:ascii="Atkinson Hyperlegible" w:hAnsi="Atkinson Hyperlegible"/>
            <w:color w:val="000000"/>
          </w:rPr>
          <w:t xml:space="preserve"> Vitamin B12. </w:t>
        </w:r>
      </w:hyperlink>
      <w:hyperlink r:id="rId42">
        <w:r w:rsidRPr="00192A01">
          <w:rPr>
            <w:rFonts w:ascii="Atkinson Hyperlegible" w:hAnsi="Atkinson Hyperlegible"/>
            <w:i/>
            <w:color w:val="000000"/>
          </w:rPr>
          <w:t>BMJ</w:t>
        </w:r>
      </w:hyperlink>
      <w:hyperlink r:id="rId43">
        <w:r w:rsidRPr="00192A01">
          <w:rPr>
            <w:rFonts w:ascii="Atkinson Hyperlegible" w:hAnsi="Atkinson Hyperlegible"/>
            <w:color w:val="000000"/>
          </w:rPr>
          <w:t xml:space="preserve">. 2023;383:e071725. doi: </w:t>
        </w:r>
      </w:hyperlink>
      <w:hyperlink r:id="rId44">
        <w:r w:rsidRPr="00192A01">
          <w:rPr>
            <w:rFonts w:ascii="Atkinson Hyperlegible" w:hAnsi="Atkinson Hyperlegible"/>
            <w:color w:val="000000"/>
          </w:rPr>
          <w:t>10.1136/bmj-2022-071725</w:t>
        </w:r>
      </w:hyperlink>
    </w:p>
    <w:p w14:paraId="00000088" w14:textId="7777777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  <w:lang w:val="en-US"/>
        </w:rPr>
      </w:pPr>
      <w:r w:rsidRPr="00192A01">
        <w:rPr>
          <w:rFonts w:ascii="Atkinson Hyperlegible" w:hAnsi="Atkinson Hyperlegible"/>
          <w:color w:val="000000"/>
        </w:rPr>
        <w:t xml:space="preserve">7. </w:t>
      </w:r>
      <w:r w:rsidRPr="00192A01">
        <w:rPr>
          <w:rFonts w:ascii="Atkinson Hyperlegible" w:hAnsi="Atkinson Hyperlegible"/>
          <w:color w:val="000000"/>
        </w:rPr>
        <w:tab/>
      </w:r>
      <w:hyperlink r:id="rId45">
        <w:r w:rsidRPr="00192A01">
          <w:rPr>
            <w:rFonts w:ascii="Atkinson Hyperlegible" w:hAnsi="Atkinson Hyperlegible"/>
            <w:color w:val="000000"/>
          </w:rPr>
          <w:t xml:space="preserve">Laisk T, Lepamets M, Koel M, </w:t>
        </w:r>
      </w:hyperlink>
      <w:hyperlink r:id="rId46">
        <w:r w:rsidRPr="00192A01">
          <w:rPr>
            <w:rFonts w:ascii="Atkinson Hyperlegible" w:hAnsi="Atkinson Hyperlegible"/>
            <w:i/>
            <w:color w:val="000000"/>
          </w:rPr>
          <w:t>et al.</w:t>
        </w:r>
      </w:hyperlink>
      <w:hyperlink r:id="rId47">
        <w:r w:rsidRPr="00192A01">
          <w:rPr>
            <w:rFonts w:ascii="Atkinson Hyperlegible" w:hAnsi="Atkinson Hyperlegible"/>
            <w:color w:val="000000"/>
          </w:rPr>
          <w:t xml:space="preserve"> </w:t>
        </w:r>
        <w:r w:rsidRPr="00192A01">
          <w:rPr>
            <w:rFonts w:ascii="Atkinson Hyperlegible" w:hAnsi="Atkinson Hyperlegible"/>
            <w:color w:val="000000"/>
            <w:lang w:val="en-US"/>
          </w:rPr>
          <w:t xml:space="preserve">Genome-wide association study identifies five risk loci for pernicious anemia. </w:t>
        </w:r>
      </w:hyperlink>
      <w:hyperlink r:id="rId48">
        <w:r w:rsidRPr="00192A01">
          <w:rPr>
            <w:rFonts w:ascii="Atkinson Hyperlegible" w:hAnsi="Atkinson Hyperlegible"/>
            <w:i/>
            <w:color w:val="000000"/>
            <w:lang w:val="en-US"/>
          </w:rPr>
          <w:t>Nat Commun</w:t>
        </w:r>
      </w:hyperlink>
      <w:hyperlink r:id="rId49">
        <w:r w:rsidRPr="00192A01">
          <w:rPr>
            <w:rFonts w:ascii="Atkinson Hyperlegible" w:hAnsi="Atkinson Hyperlegible"/>
            <w:color w:val="000000"/>
            <w:lang w:val="en-US"/>
          </w:rPr>
          <w:t xml:space="preserve">. 2021;12:3761. doi: </w:t>
        </w:r>
      </w:hyperlink>
      <w:hyperlink r:id="rId50">
        <w:r w:rsidRPr="00192A01">
          <w:rPr>
            <w:rFonts w:ascii="Atkinson Hyperlegible" w:hAnsi="Atkinson Hyperlegible"/>
            <w:color w:val="000000"/>
            <w:lang w:val="en-US"/>
          </w:rPr>
          <w:t>10.1038/s41467-021-24051-6</w:t>
        </w:r>
      </w:hyperlink>
      <w:r w:rsidRPr="00192A01">
        <w:rPr>
          <w:rFonts w:ascii="Atkinson Hyperlegible" w:hAnsi="Atkinson Hyperlegible"/>
          <w:color w:val="000000"/>
          <w:lang w:val="en-US"/>
        </w:rPr>
        <w:t>.</w:t>
      </w:r>
    </w:p>
    <w:p w14:paraId="00000089" w14:textId="7777777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  <w:lang w:val="en-US"/>
        </w:rPr>
      </w:pPr>
      <w:r w:rsidRPr="00192A01">
        <w:rPr>
          <w:rFonts w:ascii="Atkinson Hyperlegible" w:hAnsi="Atkinson Hyperlegible"/>
          <w:color w:val="000000"/>
          <w:lang w:val="en-US"/>
        </w:rPr>
        <w:t xml:space="preserve">8. </w:t>
      </w:r>
      <w:r w:rsidRPr="00192A01">
        <w:rPr>
          <w:rFonts w:ascii="Atkinson Hyperlegible" w:hAnsi="Atkinson Hyperlegible"/>
          <w:color w:val="000000"/>
          <w:lang w:val="en-US"/>
        </w:rPr>
        <w:tab/>
      </w:r>
      <w:hyperlink r:id="rId51">
        <w:r w:rsidRPr="00192A01">
          <w:rPr>
            <w:rFonts w:ascii="Atkinson Hyperlegible" w:hAnsi="Atkinson Hyperlegible"/>
            <w:color w:val="000000"/>
          </w:rPr>
          <w:t xml:space="preserve">Wolffenbuttel BHR, Wouters HJCM, Heiner-Fokkema MR, </w:t>
        </w:r>
      </w:hyperlink>
      <w:hyperlink r:id="rId52">
        <w:r w:rsidRPr="00192A01">
          <w:rPr>
            <w:rFonts w:ascii="Atkinson Hyperlegible" w:hAnsi="Atkinson Hyperlegible"/>
            <w:i/>
            <w:color w:val="000000"/>
          </w:rPr>
          <w:t>et al.</w:t>
        </w:r>
      </w:hyperlink>
      <w:hyperlink r:id="rId53">
        <w:r w:rsidRPr="00192A01">
          <w:rPr>
            <w:rFonts w:ascii="Atkinson Hyperlegible" w:hAnsi="Atkinson Hyperlegible"/>
            <w:color w:val="000000"/>
          </w:rPr>
          <w:t xml:space="preserve"> </w:t>
        </w:r>
        <w:r w:rsidRPr="00192A01">
          <w:rPr>
            <w:rFonts w:ascii="Atkinson Hyperlegible" w:hAnsi="Atkinson Hyperlegible"/>
            <w:color w:val="000000"/>
            <w:lang w:val="en-US"/>
          </w:rPr>
          <w:t xml:space="preserve">The Many Faces of Cobalamin (Vitamin B12) Deficiency. </w:t>
        </w:r>
      </w:hyperlink>
      <w:hyperlink r:id="rId54">
        <w:r w:rsidRPr="00192A01">
          <w:rPr>
            <w:rFonts w:ascii="Atkinson Hyperlegible" w:hAnsi="Atkinson Hyperlegible"/>
            <w:i/>
            <w:color w:val="000000"/>
            <w:lang w:val="en-US"/>
          </w:rPr>
          <w:t>Mayo Clin Proc Innov Qual Outcomes</w:t>
        </w:r>
      </w:hyperlink>
      <w:hyperlink r:id="rId55">
        <w:r w:rsidRPr="00192A01">
          <w:rPr>
            <w:rFonts w:ascii="Atkinson Hyperlegible" w:hAnsi="Atkinson Hyperlegible"/>
            <w:color w:val="000000"/>
            <w:lang w:val="en-US"/>
          </w:rPr>
          <w:t xml:space="preserve">. 2019;3:200–14. doi: </w:t>
        </w:r>
      </w:hyperlink>
      <w:hyperlink r:id="rId56">
        <w:r w:rsidRPr="00192A01">
          <w:rPr>
            <w:rFonts w:ascii="Atkinson Hyperlegible" w:hAnsi="Atkinson Hyperlegible"/>
            <w:color w:val="000000"/>
            <w:lang w:val="en-US"/>
          </w:rPr>
          <w:t>10.1016/j.mayocpiqo.2019.03.002</w:t>
        </w:r>
      </w:hyperlink>
      <w:r w:rsidRPr="00192A01">
        <w:rPr>
          <w:rFonts w:ascii="Atkinson Hyperlegible" w:hAnsi="Atkinson Hyperlegible"/>
          <w:color w:val="000000"/>
          <w:lang w:val="en-US"/>
        </w:rPr>
        <w:t>.</w:t>
      </w:r>
    </w:p>
    <w:p w14:paraId="0000008A" w14:textId="7777777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  <w:lang w:val="en-US"/>
        </w:rPr>
      </w:pPr>
      <w:r w:rsidRPr="00192A01">
        <w:rPr>
          <w:rFonts w:ascii="Atkinson Hyperlegible" w:hAnsi="Atkinson Hyperlegible"/>
          <w:color w:val="000000"/>
          <w:lang w:val="en-US"/>
        </w:rPr>
        <w:t xml:space="preserve">9. </w:t>
      </w:r>
      <w:r w:rsidRPr="00192A01">
        <w:rPr>
          <w:rFonts w:ascii="Atkinson Hyperlegible" w:hAnsi="Atkinson Hyperlegible"/>
          <w:color w:val="000000"/>
          <w:lang w:val="en-US"/>
        </w:rPr>
        <w:tab/>
      </w:r>
      <w:hyperlink r:id="rId57">
        <w:r w:rsidRPr="00192A01">
          <w:rPr>
            <w:rFonts w:ascii="Atkinson Hyperlegible" w:hAnsi="Atkinson Hyperlegible"/>
            <w:color w:val="000000"/>
          </w:rPr>
          <w:t xml:space="preserve">Sluyts Y, Vanherpe P, Amir R, </w:t>
        </w:r>
      </w:hyperlink>
      <w:hyperlink r:id="rId58">
        <w:r w:rsidRPr="00192A01">
          <w:rPr>
            <w:rFonts w:ascii="Atkinson Hyperlegible" w:hAnsi="Atkinson Hyperlegible"/>
            <w:i/>
            <w:color w:val="000000"/>
          </w:rPr>
          <w:t>et al.</w:t>
        </w:r>
      </w:hyperlink>
      <w:hyperlink r:id="rId59">
        <w:r w:rsidRPr="00192A01">
          <w:rPr>
            <w:rFonts w:ascii="Atkinson Hyperlegible" w:hAnsi="Atkinson Hyperlegible"/>
            <w:color w:val="000000"/>
          </w:rPr>
          <w:t xml:space="preserve"> </w:t>
        </w:r>
        <w:r w:rsidRPr="00192A01">
          <w:rPr>
            <w:rFonts w:ascii="Atkinson Hyperlegible" w:hAnsi="Atkinson Hyperlegible"/>
            <w:color w:val="000000"/>
            <w:lang w:val="en-US"/>
          </w:rPr>
          <w:t xml:space="preserve">Vitamin B12 deficiency in the setting of nitrous oxide abuse: diagnostic challenges and treatment options in patients presenting with subacute neurological complications. </w:t>
        </w:r>
      </w:hyperlink>
      <w:hyperlink r:id="rId60">
        <w:r w:rsidRPr="00192A01">
          <w:rPr>
            <w:rFonts w:ascii="Atkinson Hyperlegible" w:hAnsi="Atkinson Hyperlegible"/>
            <w:i/>
            <w:color w:val="000000"/>
            <w:lang w:val="en-US"/>
          </w:rPr>
          <w:t>Acta Clin Belg</w:t>
        </w:r>
      </w:hyperlink>
      <w:hyperlink r:id="rId61">
        <w:r w:rsidRPr="00192A01">
          <w:rPr>
            <w:rFonts w:ascii="Atkinson Hyperlegible" w:hAnsi="Atkinson Hyperlegible"/>
            <w:color w:val="000000"/>
            <w:lang w:val="en-US"/>
          </w:rPr>
          <w:t xml:space="preserve">. 2022;77:955–61. doi: </w:t>
        </w:r>
      </w:hyperlink>
      <w:hyperlink r:id="rId62">
        <w:r w:rsidRPr="00192A01">
          <w:rPr>
            <w:rFonts w:ascii="Atkinson Hyperlegible" w:hAnsi="Atkinson Hyperlegible"/>
            <w:color w:val="000000"/>
            <w:lang w:val="en-US"/>
          </w:rPr>
          <w:t>10.1080/17843286.2021.2015555</w:t>
        </w:r>
      </w:hyperlink>
      <w:r w:rsidRPr="00192A01">
        <w:rPr>
          <w:rFonts w:ascii="Atkinson Hyperlegible" w:hAnsi="Atkinson Hyperlegible"/>
          <w:color w:val="000000"/>
          <w:lang w:val="en-US"/>
        </w:rPr>
        <w:t>.</w:t>
      </w:r>
    </w:p>
    <w:p w14:paraId="0000008C" w14:textId="2FF00F3B" w:rsidR="00A30A5A" w:rsidRPr="0013798E" w:rsidRDefault="00BD6EB1" w:rsidP="00B21A0D">
      <w:pPr>
        <w:widowControl w:val="0"/>
        <w:spacing w:after="220" w:line="240" w:lineRule="auto"/>
        <w:ind w:left="440" w:hanging="440"/>
        <w:rPr>
          <w:rFonts w:ascii="Atkinson Hyperlegible" w:hAnsi="Atkinson Hyperlegible"/>
          <w:lang w:val="en-US"/>
        </w:rPr>
      </w:pPr>
      <w:r w:rsidRPr="00192A01">
        <w:rPr>
          <w:rFonts w:ascii="Atkinson Hyperlegible" w:hAnsi="Atkinson Hyperlegible"/>
          <w:lang w:val="en-US"/>
        </w:rPr>
        <w:t>10.</w:t>
      </w:r>
      <w:r w:rsidRPr="00192A01">
        <w:rPr>
          <w:rFonts w:ascii="Atkinson Hyperlegible" w:hAnsi="Atkinson Hyperlegible"/>
          <w:lang w:val="en-US"/>
        </w:rPr>
        <w:tab/>
        <w:t>Lam JR, Schneider JL, Zhao W, Corley DA. Proton pump inhibitor and histamine 2 receptor antagonist use and vitamin B12 deficiency.</w:t>
      </w:r>
      <w:r w:rsidRPr="00192A01">
        <w:rPr>
          <w:rFonts w:ascii="Atkinson Hyperlegible" w:hAnsi="Atkinson Hyperlegible"/>
          <w:b/>
          <w:lang w:val="en-US"/>
        </w:rPr>
        <w:t xml:space="preserve"> </w:t>
      </w:r>
      <w:r w:rsidRPr="0013798E">
        <w:rPr>
          <w:rFonts w:ascii="Atkinson Hyperlegible" w:hAnsi="Atkinson Hyperlegible"/>
          <w:i/>
          <w:lang w:val="en-US"/>
        </w:rPr>
        <w:t>JAMA</w:t>
      </w:r>
      <w:r w:rsidRPr="0013798E">
        <w:rPr>
          <w:rFonts w:ascii="Atkinson Hyperlegible" w:hAnsi="Atkinson Hyperlegible"/>
          <w:lang w:val="en-US"/>
        </w:rPr>
        <w:t xml:space="preserve"> 2013 Dec 11;310(22):2435-42. doi: </w:t>
      </w:r>
      <w:hyperlink r:id="rId63">
        <w:r w:rsidRPr="0013798E">
          <w:rPr>
            <w:rFonts w:ascii="Atkinson Hyperlegible" w:hAnsi="Atkinson Hyperlegible"/>
            <w:color w:val="0563C1"/>
            <w:u w:val="single"/>
            <w:lang w:val="en-US"/>
          </w:rPr>
          <w:t>10.1001/jama.2013.280490</w:t>
        </w:r>
      </w:hyperlink>
    </w:p>
    <w:p w14:paraId="0000008D" w14:textId="77777777" w:rsidR="00A30A5A" w:rsidRPr="0013798E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  <w:lang w:val="en-US"/>
        </w:rPr>
      </w:pPr>
      <w:r w:rsidRPr="0013798E">
        <w:rPr>
          <w:rFonts w:ascii="Atkinson Hyperlegible" w:hAnsi="Atkinson Hyperlegible"/>
          <w:color w:val="000000"/>
          <w:lang w:val="en-US"/>
        </w:rPr>
        <w:t>11.</w:t>
      </w:r>
      <w:r w:rsidRPr="0013798E">
        <w:rPr>
          <w:rFonts w:ascii="Atkinson Hyperlegible" w:hAnsi="Atkinson Hyperlegible"/>
          <w:color w:val="000000"/>
          <w:lang w:val="en-US"/>
        </w:rPr>
        <w:tab/>
      </w:r>
      <w:hyperlink r:id="rId64">
        <w:r w:rsidRPr="00192A01">
          <w:rPr>
            <w:rFonts w:ascii="Atkinson Hyperlegible" w:hAnsi="Atkinson Hyperlegible"/>
            <w:color w:val="000000"/>
          </w:rPr>
          <w:t xml:space="preserve">Khattab R, Albannawi M, Alhajjmohammed D ’a, </w:t>
        </w:r>
      </w:hyperlink>
      <w:hyperlink r:id="rId65">
        <w:r w:rsidRPr="00192A01">
          <w:rPr>
            <w:rFonts w:ascii="Atkinson Hyperlegible" w:hAnsi="Atkinson Hyperlegible"/>
            <w:i/>
            <w:color w:val="000000"/>
          </w:rPr>
          <w:t>et al.</w:t>
        </w:r>
      </w:hyperlink>
      <w:hyperlink r:id="rId66">
        <w:r w:rsidRPr="00192A01">
          <w:rPr>
            <w:rFonts w:ascii="Atkinson Hyperlegible" w:hAnsi="Atkinson Hyperlegible"/>
            <w:color w:val="000000"/>
          </w:rPr>
          <w:t xml:space="preserve"> </w:t>
        </w:r>
        <w:r w:rsidRPr="00192A01">
          <w:rPr>
            <w:rFonts w:ascii="Atkinson Hyperlegible" w:hAnsi="Atkinson Hyperlegible"/>
            <w:color w:val="000000"/>
            <w:lang w:val="en-US"/>
          </w:rPr>
          <w:t xml:space="preserve">Metformin-Induced Vitamin B12 Deficiency among Type 2 Diabetes Mellitus’ Patients: A Systematic Review. </w:t>
        </w:r>
      </w:hyperlink>
      <w:hyperlink r:id="rId67">
        <w:r w:rsidRPr="0013798E">
          <w:rPr>
            <w:rFonts w:ascii="Atkinson Hyperlegible" w:hAnsi="Atkinson Hyperlegible"/>
            <w:i/>
            <w:color w:val="000000"/>
            <w:lang w:val="en-US"/>
          </w:rPr>
          <w:t>Curr Diabetes Rev</w:t>
        </w:r>
      </w:hyperlink>
      <w:hyperlink r:id="rId68">
        <w:r w:rsidRPr="0013798E">
          <w:rPr>
            <w:rFonts w:ascii="Atkinson Hyperlegible" w:hAnsi="Atkinson Hyperlegible"/>
            <w:color w:val="000000"/>
            <w:lang w:val="en-US"/>
          </w:rPr>
          <w:t xml:space="preserve">. 2023;19:e180422203716. doi: </w:t>
        </w:r>
      </w:hyperlink>
      <w:hyperlink r:id="rId69">
        <w:r w:rsidRPr="0013798E">
          <w:rPr>
            <w:rFonts w:ascii="Atkinson Hyperlegible" w:hAnsi="Atkinson Hyperlegible"/>
            <w:color w:val="000000"/>
            <w:lang w:val="en-US"/>
          </w:rPr>
          <w:t>10.2174/1573399818666220418080959</w:t>
        </w:r>
      </w:hyperlink>
    </w:p>
    <w:p w14:paraId="0000008E" w14:textId="7777777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  <w:lang w:val="en-US"/>
        </w:rPr>
      </w:pPr>
      <w:r w:rsidRPr="0013798E">
        <w:rPr>
          <w:rFonts w:ascii="Atkinson Hyperlegible" w:hAnsi="Atkinson Hyperlegible"/>
          <w:color w:val="000000"/>
          <w:lang w:val="en-US"/>
        </w:rPr>
        <w:t xml:space="preserve">12. </w:t>
      </w:r>
      <w:r w:rsidRPr="0013798E">
        <w:rPr>
          <w:rFonts w:ascii="Atkinson Hyperlegible" w:hAnsi="Atkinson Hyperlegible"/>
          <w:color w:val="000000"/>
          <w:lang w:val="en-US"/>
        </w:rPr>
        <w:tab/>
      </w:r>
      <w:hyperlink r:id="rId70">
        <w:r w:rsidRPr="00192A01">
          <w:rPr>
            <w:rFonts w:ascii="Atkinson Hyperlegible" w:hAnsi="Atkinson Hyperlegible"/>
            <w:color w:val="000000"/>
          </w:rPr>
          <w:t xml:space="preserve">Castellana C, Eusebi LH, Dajti E, </w:t>
        </w:r>
      </w:hyperlink>
      <w:hyperlink r:id="rId71">
        <w:r w:rsidRPr="00192A01">
          <w:rPr>
            <w:rFonts w:ascii="Atkinson Hyperlegible" w:hAnsi="Atkinson Hyperlegible"/>
            <w:i/>
            <w:color w:val="000000"/>
          </w:rPr>
          <w:t>et al.</w:t>
        </w:r>
      </w:hyperlink>
      <w:hyperlink r:id="rId72">
        <w:r w:rsidRPr="00192A01">
          <w:rPr>
            <w:rFonts w:ascii="Atkinson Hyperlegible" w:hAnsi="Atkinson Hyperlegible"/>
            <w:color w:val="000000"/>
          </w:rPr>
          <w:t xml:space="preserve"> </w:t>
        </w:r>
        <w:r w:rsidRPr="00192A01">
          <w:rPr>
            <w:rFonts w:ascii="Atkinson Hyperlegible" w:hAnsi="Atkinson Hyperlegible"/>
            <w:color w:val="000000"/>
            <w:lang w:val="en-US"/>
          </w:rPr>
          <w:t xml:space="preserve">Autoimmune Atrophic Gastritis: A Clinical Review. </w:t>
        </w:r>
      </w:hyperlink>
      <w:hyperlink r:id="rId73">
        <w:r w:rsidRPr="00192A01">
          <w:rPr>
            <w:rFonts w:ascii="Atkinson Hyperlegible" w:hAnsi="Atkinson Hyperlegible"/>
            <w:i/>
            <w:color w:val="000000"/>
            <w:lang w:val="en-US"/>
          </w:rPr>
          <w:t>Cancers</w:t>
        </w:r>
      </w:hyperlink>
      <w:hyperlink r:id="rId74">
        <w:r w:rsidRPr="00192A01">
          <w:rPr>
            <w:rFonts w:ascii="Atkinson Hyperlegible" w:hAnsi="Atkinson Hyperlegible"/>
            <w:color w:val="000000"/>
            <w:lang w:val="en-US"/>
          </w:rPr>
          <w:t xml:space="preserve">. 2024;16. doi: </w:t>
        </w:r>
      </w:hyperlink>
      <w:hyperlink r:id="rId75">
        <w:r w:rsidRPr="00192A01">
          <w:rPr>
            <w:rFonts w:ascii="Atkinson Hyperlegible" w:hAnsi="Atkinson Hyperlegible"/>
            <w:color w:val="000000"/>
            <w:lang w:val="en-US"/>
          </w:rPr>
          <w:t>10.3390/cancers16071310</w:t>
        </w:r>
      </w:hyperlink>
      <w:r w:rsidRPr="00192A01">
        <w:rPr>
          <w:rFonts w:ascii="Atkinson Hyperlegible" w:hAnsi="Atkinson Hyperlegible"/>
          <w:color w:val="000000"/>
          <w:lang w:val="en-US"/>
        </w:rPr>
        <w:t>.</w:t>
      </w:r>
    </w:p>
    <w:p w14:paraId="0000008F" w14:textId="7777777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  <w:lang w:val="en-US"/>
        </w:rPr>
      </w:pPr>
      <w:r w:rsidRPr="00192A01">
        <w:rPr>
          <w:rFonts w:ascii="Atkinson Hyperlegible" w:hAnsi="Atkinson Hyperlegible"/>
          <w:color w:val="000000"/>
          <w:lang w:val="en-US"/>
        </w:rPr>
        <w:t xml:space="preserve">13. </w:t>
      </w:r>
      <w:r w:rsidRPr="00192A01">
        <w:rPr>
          <w:rFonts w:ascii="Atkinson Hyperlegible" w:hAnsi="Atkinson Hyperlegible"/>
          <w:color w:val="000000"/>
          <w:lang w:val="en-US"/>
        </w:rPr>
        <w:tab/>
      </w:r>
      <w:hyperlink r:id="rId76">
        <w:r w:rsidRPr="00192A01">
          <w:rPr>
            <w:rFonts w:ascii="Atkinson Hyperlegible" w:hAnsi="Atkinson Hyperlegible"/>
            <w:color w:val="000000"/>
            <w:lang w:val="en-US"/>
          </w:rPr>
          <w:t xml:space="preserve">Langan RC, Goodbred AJ. Vitamin B12 Deficiency: Recognition and Management. </w:t>
        </w:r>
      </w:hyperlink>
      <w:hyperlink r:id="rId77">
        <w:r w:rsidRPr="00192A01">
          <w:rPr>
            <w:rFonts w:ascii="Atkinson Hyperlegible" w:hAnsi="Atkinson Hyperlegible"/>
            <w:i/>
            <w:color w:val="000000"/>
            <w:lang w:val="en-US"/>
          </w:rPr>
          <w:t>Am Fam Physician</w:t>
        </w:r>
      </w:hyperlink>
      <w:hyperlink r:id="rId78">
        <w:r w:rsidRPr="00192A01">
          <w:rPr>
            <w:rFonts w:ascii="Atkinson Hyperlegible" w:hAnsi="Atkinson Hyperlegible"/>
            <w:color w:val="000000"/>
            <w:lang w:val="en-US"/>
          </w:rPr>
          <w:t>. 2017;96:384–9.</w:t>
        </w:r>
      </w:hyperlink>
    </w:p>
    <w:p w14:paraId="72A55D32" w14:textId="58893379" w:rsidR="00E835B5" w:rsidRPr="0013798E" w:rsidRDefault="00BD6EB1" w:rsidP="00C640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</w:rPr>
      </w:pPr>
      <w:r w:rsidRPr="0013798E">
        <w:rPr>
          <w:rFonts w:ascii="Atkinson Hyperlegible" w:hAnsi="Atkinson Hyperlegible"/>
          <w:color w:val="000000"/>
          <w:lang w:val="en-US"/>
        </w:rPr>
        <w:t xml:space="preserve">14. </w:t>
      </w:r>
      <w:r w:rsidRPr="0013798E">
        <w:rPr>
          <w:rFonts w:ascii="Atkinson Hyperlegible" w:hAnsi="Atkinson Hyperlegible"/>
          <w:color w:val="000000"/>
          <w:lang w:val="en-US"/>
        </w:rPr>
        <w:tab/>
      </w:r>
      <w:hyperlink r:id="rId79">
        <w:r w:rsidRPr="00192A01">
          <w:rPr>
            <w:rFonts w:ascii="Atkinson Hyperlegible" w:hAnsi="Atkinson Hyperlegible"/>
            <w:color w:val="000000"/>
          </w:rPr>
          <w:t xml:space="preserve">Dansk Lægemiddel Information A/S. Hydroxocobalamin ‘Alternova’. </w:t>
        </w:r>
      </w:hyperlink>
      <w:hyperlink r:id="rId80">
        <w:r w:rsidRPr="0013798E">
          <w:rPr>
            <w:rFonts w:ascii="Atkinson Hyperlegible" w:hAnsi="Atkinson Hyperlegible"/>
            <w:color w:val="000000"/>
          </w:rPr>
          <w:t>https://pro.medicin.dk/Medicin/Praeparater/7910</w:t>
        </w:r>
      </w:hyperlink>
      <w:r w:rsidRPr="0013798E">
        <w:rPr>
          <w:rFonts w:ascii="Atkinson Hyperlegible" w:hAnsi="Atkinson Hyperlegible"/>
          <w:color w:val="000000"/>
        </w:rPr>
        <w:t>.</w:t>
      </w:r>
    </w:p>
    <w:p w14:paraId="00000091" w14:textId="7777777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  <w:lang w:val="en-US"/>
        </w:rPr>
      </w:pPr>
      <w:r w:rsidRPr="0013798E">
        <w:rPr>
          <w:rFonts w:ascii="Atkinson Hyperlegible" w:hAnsi="Atkinson Hyperlegible"/>
        </w:rPr>
        <w:t xml:space="preserve">15. </w:t>
      </w:r>
      <w:r w:rsidRPr="0013798E">
        <w:rPr>
          <w:rFonts w:ascii="Atkinson Hyperlegible" w:hAnsi="Atkinson Hyperlegible"/>
        </w:rPr>
        <w:tab/>
      </w:r>
      <w:hyperlink r:id="rId81">
        <w:r w:rsidRPr="00192A01">
          <w:rPr>
            <w:rFonts w:ascii="Atkinson Hyperlegible" w:hAnsi="Atkinson Hyperlegible"/>
            <w:color w:val="000000"/>
            <w:lang w:val="en-US"/>
          </w:rPr>
          <w:t xml:space="preserve">Nexo E, Parkner T. Vitamin B12-Related Biomarkers. </w:t>
        </w:r>
      </w:hyperlink>
      <w:hyperlink r:id="rId82">
        <w:r w:rsidRPr="00192A01">
          <w:rPr>
            <w:rFonts w:ascii="Atkinson Hyperlegible" w:hAnsi="Atkinson Hyperlegible"/>
            <w:i/>
            <w:color w:val="000000"/>
            <w:lang w:val="en-US"/>
          </w:rPr>
          <w:t>Food Nutr Bull</w:t>
        </w:r>
      </w:hyperlink>
      <w:hyperlink r:id="rId83">
        <w:r w:rsidRPr="00192A01">
          <w:rPr>
            <w:rFonts w:ascii="Atkinson Hyperlegible" w:hAnsi="Atkinson Hyperlegible"/>
            <w:color w:val="000000"/>
            <w:lang w:val="en-US"/>
          </w:rPr>
          <w:t xml:space="preserve">. 2024;45:S28–33. doi: </w:t>
        </w:r>
      </w:hyperlink>
      <w:hyperlink r:id="rId84">
        <w:r w:rsidRPr="00192A01">
          <w:rPr>
            <w:rFonts w:ascii="Atkinson Hyperlegible" w:hAnsi="Atkinson Hyperlegible"/>
            <w:color w:val="000000"/>
            <w:lang w:val="en-US"/>
          </w:rPr>
          <w:t>10.1177/03795721241227114</w:t>
        </w:r>
      </w:hyperlink>
      <w:r w:rsidRPr="00192A01">
        <w:rPr>
          <w:rFonts w:ascii="Atkinson Hyperlegible" w:hAnsi="Atkinson Hyperlegible"/>
          <w:color w:val="000000"/>
          <w:lang w:val="en-US"/>
        </w:rPr>
        <w:t>.</w:t>
      </w:r>
    </w:p>
    <w:p w14:paraId="00000092" w14:textId="7777777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</w:rPr>
      </w:pPr>
      <w:r w:rsidRPr="00192A01">
        <w:rPr>
          <w:rFonts w:ascii="Atkinson Hyperlegible" w:hAnsi="Atkinson Hyperlegible"/>
          <w:color w:val="000000"/>
          <w:lang w:val="en-US"/>
        </w:rPr>
        <w:lastRenderedPageBreak/>
        <w:t xml:space="preserve">16. </w:t>
      </w:r>
      <w:r w:rsidRPr="00192A01">
        <w:rPr>
          <w:rFonts w:ascii="Atkinson Hyperlegible" w:hAnsi="Atkinson Hyperlegible"/>
          <w:color w:val="000000"/>
          <w:lang w:val="en-US"/>
        </w:rPr>
        <w:tab/>
      </w:r>
      <w:hyperlink r:id="rId85">
        <w:r w:rsidRPr="00192A01">
          <w:rPr>
            <w:rFonts w:ascii="Atkinson Hyperlegible" w:hAnsi="Atkinson Hyperlegible"/>
            <w:color w:val="000000"/>
            <w:lang w:val="en-US"/>
          </w:rPr>
          <w:t xml:space="preserve">Dunvald A-C, Christensen MMH. </w:t>
        </w:r>
        <w:r w:rsidRPr="00192A01">
          <w:rPr>
            <w:rFonts w:ascii="Atkinson Hyperlegible" w:hAnsi="Atkinson Hyperlegible"/>
            <w:color w:val="000000"/>
          </w:rPr>
          <w:t xml:space="preserve">Når patienten køber B12-vitamin til injektion i udlandet. </w:t>
        </w:r>
      </w:hyperlink>
      <w:hyperlink r:id="rId86">
        <w:r w:rsidRPr="00192A01">
          <w:rPr>
            <w:rFonts w:ascii="Atkinson Hyperlegible" w:hAnsi="Atkinson Hyperlegible"/>
            <w:i/>
            <w:color w:val="000000"/>
          </w:rPr>
          <w:t>Månedsskrift for Almen Praksis</w:t>
        </w:r>
      </w:hyperlink>
      <w:hyperlink r:id="rId87">
        <w:r w:rsidRPr="00192A01">
          <w:rPr>
            <w:rFonts w:ascii="Atkinson Hyperlegible" w:hAnsi="Atkinson Hyperlegible"/>
            <w:color w:val="000000"/>
          </w:rPr>
          <w:t>. 2018;96:671–7.</w:t>
        </w:r>
      </w:hyperlink>
    </w:p>
    <w:p w14:paraId="00000093" w14:textId="0660CE5F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  <w:lang w:val="en-US"/>
        </w:rPr>
      </w:pPr>
      <w:r w:rsidRPr="00192A01">
        <w:rPr>
          <w:rFonts w:ascii="Atkinson Hyperlegible" w:hAnsi="Atkinson Hyperlegible"/>
          <w:color w:val="000000"/>
        </w:rPr>
        <w:t xml:space="preserve">17. </w:t>
      </w:r>
      <w:r w:rsidR="00B21A0D" w:rsidRPr="00192A01">
        <w:rPr>
          <w:rFonts w:ascii="Atkinson Hyperlegible" w:hAnsi="Atkinson Hyperlegible"/>
          <w:color w:val="000000"/>
        </w:rPr>
        <w:tab/>
      </w:r>
      <w:hyperlink r:id="rId88">
        <w:r w:rsidRPr="00192A01">
          <w:rPr>
            <w:rFonts w:ascii="Atkinson Hyperlegible" w:hAnsi="Atkinson Hyperlegible"/>
            <w:color w:val="000000"/>
          </w:rPr>
          <w:t xml:space="preserve">Baik HW, Russell RM. </w:t>
        </w:r>
        <w:r w:rsidRPr="00192A01">
          <w:rPr>
            <w:rFonts w:ascii="Atkinson Hyperlegible" w:hAnsi="Atkinson Hyperlegible"/>
            <w:color w:val="000000"/>
            <w:lang w:val="en-US"/>
          </w:rPr>
          <w:t xml:space="preserve">Vitamin B12 deficiency in the elderly. </w:t>
        </w:r>
      </w:hyperlink>
      <w:hyperlink r:id="rId89">
        <w:r w:rsidRPr="00192A01">
          <w:rPr>
            <w:rFonts w:ascii="Atkinson Hyperlegible" w:hAnsi="Atkinson Hyperlegible"/>
            <w:i/>
            <w:color w:val="000000"/>
            <w:lang w:val="en-US"/>
          </w:rPr>
          <w:t>Annu Rev Nutr</w:t>
        </w:r>
      </w:hyperlink>
      <w:hyperlink r:id="rId90">
        <w:r w:rsidRPr="00192A01">
          <w:rPr>
            <w:rFonts w:ascii="Atkinson Hyperlegible" w:hAnsi="Atkinson Hyperlegible"/>
            <w:color w:val="000000"/>
            <w:lang w:val="en-US"/>
          </w:rPr>
          <w:t xml:space="preserve">. 1999;19:357–77. doi: </w:t>
        </w:r>
      </w:hyperlink>
      <w:hyperlink r:id="rId91">
        <w:r w:rsidRPr="00192A01">
          <w:rPr>
            <w:rFonts w:ascii="Atkinson Hyperlegible" w:hAnsi="Atkinson Hyperlegible"/>
            <w:color w:val="000000"/>
            <w:lang w:val="en-US"/>
          </w:rPr>
          <w:t>10.1146/annurev.nutr.19.1.357</w:t>
        </w:r>
      </w:hyperlink>
      <w:r w:rsidRPr="00192A01">
        <w:rPr>
          <w:rFonts w:ascii="Atkinson Hyperlegible" w:hAnsi="Atkinson Hyperlegible"/>
          <w:color w:val="000000"/>
          <w:lang w:val="en-US"/>
        </w:rPr>
        <w:t>.</w:t>
      </w:r>
    </w:p>
    <w:p w14:paraId="00000094" w14:textId="7777777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  <w:lang w:val="en-US"/>
        </w:rPr>
      </w:pPr>
      <w:r w:rsidRPr="00192A01">
        <w:rPr>
          <w:rFonts w:ascii="Atkinson Hyperlegible" w:hAnsi="Atkinson Hyperlegible"/>
          <w:color w:val="000000"/>
          <w:lang w:val="en-US"/>
        </w:rPr>
        <w:t xml:space="preserve">18. </w:t>
      </w:r>
      <w:r w:rsidRPr="00192A01">
        <w:rPr>
          <w:rFonts w:ascii="Atkinson Hyperlegible" w:hAnsi="Atkinson Hyperlegible"/>
          <w:color w:val="000000"/>
          <w:lang w:val="en-US"/>
        </w:rPr>
        <w:tab/>
      </w:r>
      <w:hyperlink r:id="rId92">
        <w:r w:rsidRPr="00192A01">
          <w:rPr>
            <w:rFonts w:ascii="Atkinson Hyperlegible" w:hAnsi="Atkinson Hyperlegible"/>
            <w:color w:val="000000"/>
            <w:lang w:val="en-US"/>
          </w:rPr>
          <w:t xml:space="preserve">Golding PH. Holotranscobalamin (HoloTC, Active-B12) and Herbert’s model for the development of vitamin B12 deficiency: a review and alternative hypothesis. </w:t>
        </w:r>
      </w:hyperlink>
      <w:hyperlink r:id="rId93">
        <w:r w:rsidRPr="00192A01">
          <w:rPr>
            <w:rFonts w:ascii="Atkinson Hyperlegible" w:hAnsi="Atkinson Hyperlegible"/>
            <w:i/>
            <w:color w:val="000000"/>
            <w:lang w:val="en-US"/>
          </w:rPr>
          <w:t>Springerplus</w:t>
        </w:r>
      </w:hyperlink>
      <w:hyperlink r:id="rId94">
        <w:r w:rsidRPr="00192A01">
          <w:rPr>
            <w:rFonts w:ascii="Atkinson Hyperlegible" w:hAnsi="Atkinson Hyperlegible"/>
            <w:color w:val="000000"/>
            <w:lang w:val="en-US"/>
          </w:rPr>
          <w:t xml:space="preserve">. 2016;5:668. doi: </w:t>
        </w:r>
      </w:hyperlink>
      <w:hyperlink r:id="rId95">
        <w:r w:rsidRPr="00192A01">
          <w:rPr>
            <w:rFonts w:ascii="Atkinson Hyperlegible" w:hAnsi="Atkinson Hyperlegible"/>
            <w:color w:val="000000"/>
            <w:lang w:val="en-US"/>
          </w:rPr>
          <w:t>10.1186/s40064-016-2252-z</w:t>
        </w:r>
      </w:hyperlink>
      <w:r w:rsidRPr="00192A01">
        <w:rPr>
          <w:rFonts w:ascii="Atkinson Hyperlegible" w:hAnsi="Atkinson Hyperlegible"/>
          <w:color w:val="000000"/>
          <w:lang w:val="en-US"/>
        </w:rPr>
        <w:t>.</w:t>
      </w:r>
    </w:p>
    <w:p w14:paraId="00000095" w14:textId="7777777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  <w:lang w:val="en-US"/>
        </w:rPr>
      </w:pPr>
      <w:r w:rsidRPr="00192A01">
        <w:rPr>
          <w:rFonts w:ascii="Atkinson Hyperlegible" w:hAnsi="Atkinson Hyperlegible"/>
          <w:lang w:val="en-US"/>
        </w:rPr>
        <w:t xml:space="preserve">19. </w:t>
      </w:r>
      <w:r w:rsidRPr="00192A01">
        <w:rPr>
          <w:rFonts w:ascii="Atkinson Hyperlegible" w:hAnsi="Atkinson Hyperlegible"/>
          <w:lang w:val="en-US"/>
        </w:rPr>
        <w:tab/>
      </w:r>
      <w:hyperlink r:id="rId96">
        <w:r w:rsidRPr="00192A01">
          <w:rPr>
            <w:rFonts w:ascii="Atkinson Hyperlegible" w:hAnsi="Atkinson Hyperlegible"/>
            <w:color w:val="000000"/>
            <w:lang w:val="en-US"/>
          </w:rPr>
          <w:t xml:space="preserve">Ho C, Kauwell GP, Bailey LB. Practitioners’ guide to meeting the vitamin B-12 recommended dietary allowance for people aged 51 years and older. </w:t>
        </w:r>
      </w:hyperlink>
      <w:hyperlink r:id="rId97">
        <w:r w:rsidRPr="00192A01">
          <w:rPr>
            <w:rFonts w:ascii="Atkinson Hyperlegible" w:hAnsi="Atkinson Hyperlegible"/>
            <w:i/>
            <w:color w:val="000000"/>
            <w:lang w:val="en-US"/>
          </w:rPr>
          <w:t>J Am Diet Assoc</w:t>
        </w:r>
      </w:hyperlink>
      <w:hyperlink r:id="rId98">
        <w:r w:rsidRPr="00192A01">
          <w:rPr>
            <w:rFonts w:ascii="Atkinson Hyperlegible" w:hAnsi="Atkinson Hyperlegible"/>
            <w:color w:val="000000"/>
            <w:lang w:val="en-US"/>
          </w:rPr>
          <w:t xml:space="preserve">. 1999;99:725–7. doi: </w:t>
        </w:r>
      </w:hyperlink>
      <w:hyperlink r:id="rId99">
        <w:r w:rsidRPr="00192A01">
          <w:rPr>
            <w:rFonts w:ascii="Atkinson Hyperlegible" w:hAnsi="Atkinson Hyperlegible"/>
            <w:color w:val="000000"/>
            <w:lang w:val="en-US"/>
          </w:rPr>
          <w:t>10.1016/S0002-8223(99)00174-1</w:t>
        </w:r>
      </w:hyperlink>
    </w:p>
    <w:p w14:paraId="00000096" w14:textId="4AD9C217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</w:rPr>
      </w:pPr>
      <w:r w:rsidRPr="0013798E">
        <w:rPr>
          <w:rFonts w:ascii="Atkinson Hyperlegible" w:hAnsi="Atkinson Hyperlegible"/>
          <w:color w:val="000000"/>
          <w:lang w:val="en-US"/>
        </w:rPr>
        <w:t xml:space="preserve">20. </w:t>
      </w:r>
      <w:r w:rsidR="00B21A0D" w:rsidRPr="0013798E">
        <w:rPr>
          <w:rFonts w:ascii="Atkinson Hyperlegible" w:hAnsi="Atkinson Hyperlegible"/>
          <w:color w:val="000000"/>
          <w:lang w:val="en-US"/>
        </w:rPr>
        <w:tab/>
      </w:r>
      <w:r w:rsidRPr="00192A01">
        <w:rPr>
          <w:rFonts w:ascii="Atkinson Hyperlegible" w:hAnsi="Atkinson Hyperlegible"/>
          <w:color w:val="000000"/>
        </w:rPr>
        <w:t>Sundhedsstyrelsen.</w:t>
      </w:r>
      <w:hyperlink r:id="rId100">
        <w:r w:rsidRPr="00192A01">
          <w:rPr>
            <w:rFonts w:ascii="Atkinson Hyperlegible" w:hAnsi="Atkinson Hyperlegible"/>
            <w:color w:val="000000"/>
          </w:rPr>
          <w:t xml:space="preserve"> Underernæring: Opsporing, behandling og opfølgning af borgere og patienter i ernæringsrisiko: Vejledning til kommune, sygehus og almen praksis. Udgivet 11. april 2022. https://www.sst.dk/da/udgivelser/2022/Vejledning-om-underernaering.</w:t>
        </w:r>
      </w:hyperlink>
    </w:p>
    <w:p w14:paraId="00000097" w14:textId="356F3569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  <w:color w:val="000000"/>
        </w:rPr>
      </w:pPr>
      <w:r w:rsidRPr="00192A01">
        <w:rPr>
          <w:rFonts w:ascii="Atkinson Hyperlegible" w:hAnsi="Atkinson Hyperlegible"/>
          <w:color w:val="000000"/>
        </w:rPr>
        <w:t>21.</w:t>
      </w:r>
      <w:r w:rsidR="00B21A0D" w:rsidRPr="00192A01">
        <w:rPr>
          <w:rFonts w:ascii="Atkinson Hyperlegible" w:hAnsi="Atkinson Hyperlegible"/>
          <w:color w:val="000000"/>
        </w:rPr>
        <w:tab/>
      </w:r>
      <w:r w:rsidRPr="00192A01">
        <w:rPr>
          <w:rFonts w:ascii="Atkinson Hyperlegible" w:hAnsi="Atkinson Hyperlegible"/>
          <w:color w:val="000000"/>
        </w:rPr>
        <w:t>Sundhed.dk.</w:t>
      </w:r>
      <w:r w:rsidRPr="00192A01">
        <w:rPr>
          <w:rFonts w:ascii="Atkinson Hyperlegible" w:hAnsi="Atkinson Hyperlegible"/>
        </w:rPr>
        <w:t xml:space="preserve"> Fedmekirurgi. </w:t>
      </w:r>
      <w:hyperlink r:id="rId101">
        <w:r w:rsidRPr="00192A01">
          <w:rPr>
            <w:rFonts w:ascii="Atkinson Hyperlegible" w:hAnsi="Atkinson Hyperlegible"/>
            <w:color w:val="000000"/>
          </w:rPr>
          <w:t>https://www.sundhed.dk/sundhedsfaglig/information-til-praksis/nordjylland/almen-praksis/patientbehandling/patientforloeb/forloebsbeskrivelser/t-endokrinologi-metabolik-ernaering/fedmekirurgi/</w:t>
        </w:r>
      </w:hyperlink>
      <w:r w:rsidRPr="00192A01">
        <w:rPr>
          <w:rFonts w:ascii="Atkinson Hyperlegible" w:hAnsi="Atkinson Hyperlegible"/>
          <w:color w:val="000000"/>
        </w:rPr>
        <w:t>.</w:t>
      </w:r>
    </w:p>
    <w:p w14:paraId="0000009A" w14:textId="27850721" w:rsidR="00A30A5A" w:rsidRPr="00192A01" w:rsidRDefault="00BD6E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40" w:hanging="440"/>
        <w:rPr>
          <w:rFonts w:ascii="Atkinson Hyperlegible" w:hAnsi="Atkinson Hyperlegible"/>
        </w:rPr>
      </w:pPr>
      <w:r w:rsidRPr="00192A01">
        <w:rPr>
          <w:rFonts w:ascii="Atkinson Hyperlegible" w:hAnsi="Atkinson Hyperlegible"/>
        </w:rPr>
        <w:tab/>
      </w:r>
      <w:r w:rsidRPr="00192A01">
        <w:rPr>
          <w:rFonts w:ascii="Atkinson Hyperlegible" w:hAnsi="Atkinson Hyperlegible"/>
        </w:rPr>
        <w:tab/>
        <w:t xml:space="preserve"> </w:t>
      </w:r>
      <w:r w:rsidRPr="00192A01">
        <w:rPr>
          <w:rFonts w:ascii="Atkinson Hyperlegible" w:hAnsi="Atkinson Hyperlegible"/>
        </w:rPr>
        <w:tab/>
        <w:t xml:space="preserve"> </w:t>
      </w:r>
      <w:r w:rsidRPr="00192A01">
        <w:rPr>
          <w:rFonts w:ascii="Atkinson Hyperlegible" w:hAnsi="Atkinson Hyperlegible"/>
        </w:rPr>
        <w:tab/>
        <w:t xml:space="preserve"> </w:t>
      </w:r>
      <w:r w:rsidRPr="00192A01">
        <w:rPr>
          <w:rFonts w:ascii="Atkinson Hyperlegible" w:hAnsi="Atkinson Hyperlegible"/>
        </w:rPr>
        <w:tab/>
      </w:r>
      <w:r w:rsidRPr="00192A01">
        <w:rPr>
          <w:rFonts w:ascii="Atkinson Hyperlegible" w:hAnsi="Atkinson Hyperlegible"/>
        </w:rPr>
        <w:tab/>
      </w:r>
    </w:p>
    <w:p w14:paraId="0000009B" w14:textId="77777777" w:rsidR="00A30A5A" w:rsidRPr="00192A01" w:rsidRDefault="00BD6EB1">
      <w:pPr>
        <w:widowControl w:val="0"/>
        <w:spacing w:after="220" w:line="240" w:lineRule="auto"/>
        <w:ind w:left="440"/>
        <w:rPr>
          <w:rFonts w:ascii="Atkinson Hyperlegible" w:hAnsi="Atkinson Hyperlegible"/>
        </w:rPr>
      </w:pPr>
      <w:r w:rsidRPr="00192A01">
        <w:rPr>
          <w:rFonts w:ascii="Atkinson Hyperlegible" w:hAnsi="Atkinson Hyperlegible"/>
        </w:rPr>
        <w:t> </w:t>
      </w:r>
    </w:p>
    <w:p w14:paraId="0000009C" w14:textId="77777777" w:rsidR="00A30A5A" w:rsidRPr="00192A01" w:rsidRDefault="00BD6EB1">
      <w:pPr>
        <w:widowControl w:val="0"/>
        <w:spacing w:after="220" w:line="240" w:lineRule="auto"/>
        <w:ind w:left="440"/>
        <w:rPr>
          <w:rFonts w:ascii="Atkinson Hyperlegible" w:hAnsi="Atkinson Hyperlegible"/>
        </w:rPr>
      </w:pPr>
      <w:r w:rsidRPr="00192A01">
        <w:rPr>
          <w:rFonts w:ascii="Atkinson Hyperlegible" w:hAnsi="Atkinson Hyperlegible"/>
        </w:rPr>
        <w:tab/>
      </w:r>
      <w:r w:rsidRPr="00192A01">
        <w:rPr>
          <w:rFonts w:ascii="Atkinson Hyperlegible" w:hAnsi="Atkinson Hyperlegible"/>
        </w:rPr>
        <w:tab/>
      </w:r>
    </w:p>
    <w:p w14:paraId="0000009D" w14:textId="77777777" w:rsidR="00A30A5A" w:rsidRPr="00192A01" w:rsidRDefault="00A30A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tkinson Hyperlegible" w:hAnsi="Atkinson Hyperlegible"/>
          <w:color w:val="000000"/>
          <w:sz w:val="24"/>
          <w:szCs w:val="24"/>
        </w:rPr>
      </w:pPr>
    </w:p>
    <w:sectPr w:rsidR="00A30A5A" w:rsidRPr="00192A01" w:rsidSect="004A124C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2240" w:h="15840"/>
      <w:pgMar w:top="432" w:right="720" w:bottom="720" w:left="720" w:header="720" w:footer="531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66AE8" w14:textId="77777777" w:rsidR="00BA2778" w:rsidRDefault="00BA2778">
      <w:pPr>
        <w:spacing w:after="0" w:line="240" w:lineRule="auto"/>
      </w:pPr>
      <w:r>
        <w:separator/>
      </w:r>
    </w:p>
  </w:endnote>
  <w:endnote w:type="continuationSeparator" w:id="0">
    <w:p w14:paraId="2EBA4178" w14:textId="77777777" w:rsidR="00BA2778" w:rsidRDefault="00BA2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0647C62-3082-4F8C-8C89-FB4CEA9B9F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49F0DB5-65D8-4EC0-AB5C-59639681198F}"/>
    <w:embedBold r:id="rId3" w:fontKey="{1CD889AC-B285-4811-A0A1-02133BE1593B}"/>
    <w:embedItalic r:id="rId4" w:fontKey="{B9256921-4593-4C6C-A612-23023AED0D8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EB7208F-CF60-4BAD-B779-9C621D2439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CEAFE48-ABB4-4BE7-83BE-225D6774CB58}"/>
    <w:embedItalic r:id="rId7" w:fontKey="{7F352513-F3C9-494F-881B-00561D81B3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E17D6CC-5A25-4F01-87AC-64D9624ECCC4}"/>
  </w:font>
  <w:font w:name="Atkinson Hyperlegible">
    <w:panose1 w:val="00000000000000000000"/>
    <w:charset w:val="00"/>
    <w:family w:val="auto"/>
    <w:pitch w:val="variable"/>
    <w:sig w:usb0="800000EF" w:usb1="0000204B" w:usb2="00000000" w:usb3="00000000" w:csb0="00000003" w:csb1="00000000"/>
    <w:embedRegular r:id="rId9" w:fontKey="{E7EDBE4F-2CFC-46DA-8E5B-1101A394A9E3}"/>
    <w:embedBold r:id="rId10" w:fontKey="{99B21158-B861-43BE-890B-65A46B6BEB35}"/>
    <w:embedItalic r:id="rId11" w:fontKey="{4D41945A-F901-4962-84B0-ECE118231DBB}"/>
    <w:embedBoldItalic r:id="rId12" w:fontKey="{7123C45C-D871-477B-832E-4681E93E46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A3" w14:textId="77777777" w:rsidR="00A30A5A" w:rsidRDefault="00A30A5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A4" w14:textId="472E6D40" w:rsidR="00A30A5A" w:rsidRPr="004A124C" w:rsidRDefault="00BD6EB1" w:rsidP="004A12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rFonts w:ascii="Atkinson Hyperlegible" w:hAnsi="Atkinson Hyperlegible"/>
        <w:b/>
        <w:bCs/>
        <w:color w:val="001450"/>
        <w:sz w:val="24"/>
        <w:szCs w:val="24"/>
      </w:rPr>
    </w:pPr>
    <w:r w:rsidRPr="004A124C">
      <w:rPr>
        <w:rFonts w:ascii="Atkinson Hyperlegible" w:hAnsi="Atkinson Hyperlegible"/>
        <w:b/>
        <w:bCs/>
        <w:color w:val="001450"/>
        <w:sz w:val="24"/>
        <w:szCs w:val="24"/>
      </w:rPr>
      <w:fldChar w:fldCharType="begin"/>
    </w:r>
    <w:r w:rsidRPr="004A124C">
      <w:rPr>
        <w:rFonts w:ascii="Atkinson Hyperlegible" w:hAnsi="Atkinson Hyperlegible"/>
        <w:b/>
        <w:bCs/>
        <w:color w:val="001450"/>
        <w:sz w:val="24"/>
        <w:szCs w:val="24"/>
      </w:rPr>
      <w:instrText>PAGE</w:instrText>
    </w:r>
    <w:r w:rsidRPr="004A124C">
      <w:rPr>
        <w:rFonts w:ascii="Atkinson Hyperlegible" w:hAnsi="Atkinson Hyperlegible"/>
        <w:b/>
        <w:bCs/>
        <w:color w:val="001450"/>
        <w:sz w:val="24"/>
        <w:szCs w:val="24"/>
      </w:rPr>
      <w:fldChar w:fldCharType="separate"/>
    </w:r>
    <w:r w:rsidRPr="004A124C">
      <w:rPr>
        <w:rFonts w:ascii="Atkinson Hyperlegible" w:hAnsi="Atkinson Hyperlegible"/>
        <w:b/>
        <w:bCs/>
        <w:noProof/>
        <w:color w:val="001450"/>
        <w:sz w:val="24"/>
        <w:szCs w:val="24"/>
      </w:rPr>
      <w:t>1</w:t>
    </w:r>
    <w:r w:rsidRPr="004A124C">
      <w:rPr>
        <w:rFonts w:ascii="Atkinson Hyperlegible" w:hAnsi="Atkinson Hyperlegible"/>
        <w:b/>
        <w:bCs/>
        <w:color w:val="001450"/>
        <w:sz w:val="24"/>
        <w:szCs w:val="24"/>
      </w:rPr>
      <w:fldChar w:fldCharType="end"/>
    </w:r>
  </w:p>
  <w:p w14:paraId="000000A5" w14:textId="77777777" w:rsidR="00A30A5A" w:rsidRDefault="00A30A5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A6" w14:textId="77777777" w:rsidR="00A30A5A" w:rsidRDefault="00A30A5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C08DC7" w14:textId="77777777" w:rsidR="00BA2778" w:rsidRDefault="00BA2778">
      <w:pPr>
        <w:spacing w:after="0" w:line="240" w:lineRule="auto"/>
      </w:pPr>
      <w:r>
        <w:separator/>
      </w:r>
    </w:p>
  </w:footnote>
  <w:footnote w:type="continuationSeparator" w:id="0">
    <w:p w14:paraId="58422593" w14:textId="77777777" w:rsidR="00BA2778" w:rsidRDefault="00BA2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9E" w14:textId="77777777" w:rsidR="00A30A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2713DB52">
        <v:shapetype id="_x0000_m1030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rPr>
        <w:color w:val="000000"/>
      </w:rPr>
      <w:pict w14:anchorId="2713DB52">
        <v:shape id="PowerPlusWaterMarkObject3" o:spid="_x0000_s1025" type="#_x0000_m1030" style="position:absolute;margin-left:0;margin-top:0;width:583.7pt;height:76.1pt;rotation:315;z-index:-251656192;mso-position-horizontal:center;mso-position-horizontal-relative:margin;mso-position-vertical:center;mso-position-vertical-relative:margin" o:spt="136" adj="10800" path="m@7,l@8,m@5,21600l@6,21600e" fillcolor="silver" stroked="f">
          <v:fill opacity=".5" angle="0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&amp;quot&quot;;font-size:1pt" fitshape="t" string="OFFENTLIG HØRINGSVERSION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60AF4" w14:textId="77777777" w:rsidR="004A124C" w:rsidRPr="004A124C" w:rsidRDefault="004A12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14"/>
        <w:szCs w:val="14"/>
      </w:rPr>
    </w:pPr>
    <w:r w:rsidRPr="004A124C">
      <w:rPr>
        <w:noProof/>
        <w:color w:val="000000"/>
        <w:sz w:val="28"/>
        <w:szCs w:val="28"/>
      </w:rPr>
      <w:drawing>
        <wp:inline distT="0" distB="0" distL="0" distR="0" wp14:anchorId="5582E012" wp14:editId="6C313540">
          <wp:extent cx="1413164" cy="651164"/>
          <wp:effectExtent l="0" t="0" r="0" b="0"/>
          <wp:docPr id="55850798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0767" cy="6546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9F" w14:textId="25E78355" w:rsidR="00A30A5A" w:rsidRPr="004A12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12"/>
        <w:szCs w:val="12"/>
      </w:rPr>
    </w:pPr>
    <w:r>
      <w:rPr>
        <w:color w:val="000000"/>
        <w:sz w:val="12"/>
        <w:szCs w:val="12"/>
      </w:rPr>
      <w:pict w14:anchorId="759C5650">
        <v:shapetype id="_x0000_m1029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rPr>
        <w:color w:val="000000"/>
        <w:sz w:val="12"/>
        <w:szCs w:val="12"/>
      </w:rPr>
      <w:pict w14:anchorId="759C5650">
        <v:shape id="PowerPlusWaterMarkObject1" o:spid="_x0000_s1027" type="#_x0000_m1029" style="position:absolute;margin-left:0;margin-top:0;width:583.7pt;height:76.1pt;rotation:315;z-index:-251658240;mso-position-horizontal:center;mso-position-horizontal-relative:margin;mso-position-vertical:center;mso-position-vertical-relative:margin" o:spt="136" adj="10800" path="m@7,l@8,m@5,21600l@6,21600e" fillcolor="silver" stroked="f">
          <v:fill opacity=".5" angle="0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&amp;quot&quot;;font-size:1pt" fitshape="t" string="OFFENTLIG HØRINGSVERSION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A2" w14:textId="77777777" w:rsidR="00A30A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0F8C7608">
        <v:shapetype id="_x0000_m1028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rPr>
        <w:color w:val="000000"/>
      </w:rPr>
      <w:pict w14:anchorId="0F8C7608">
        <v:shape id="PowerPlusWaterMarkObject2" o:spid="_x0000_s1026" type="#_x0000_m1028" style="position:absolute;margin-left:0;margin-top:0;width:583.7pt;height:76.1pt;rotation:315;z-index:-251657216;mso-position-horizontal:center;mso-position-horizontal-relative:margin;mso-position-vertical:center;mso-position-vertical-relative:margin" o:spt="136" adj="10800" path="m@7,l@8,m@5,21600l@6,21600e" fillcolor="silver" stroked="f">
          <v:fill opacity=".5" angle="0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&amp;quot&quot;;font-size:1pt" fitshape="t" string="OFFENTLIG HØRINGSVERSION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285ADD"/>
    <w:multiLevelType w:val="multilevel"/>
    <w:tmpl w:val="418C18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AB531B"/>
    <w:multiLevelType w:val="multilevel"/>
    <w:tmpl w:val="E18E99C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645B7A"/>
    <w:multiLevelType w:val="multilevel"/>
    <w:tmpl w:val="49326A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06305298">
    <w:abstractNumId w:val="2"/>
  </w:num>
  <w:num w:numId="2" w16cid:durableId="1267957438">
    <w:abstractNumId w:val="0"/>
  </w:num>
  <w:num w:numId="3" w16cid:durableId="24256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A5A"/>
    <w:rsid w:val="00041C6F"/>
    <w:rsid w:val="00067C34"/>
    <w:rsid w:val="000B5B67"/>
    <w:rsid w:val="001231A3"/>
    <w:rsid w:val="0013798E"/>
    <w:rsid w:val="00192A01"/>
    <w:rsid w:val="00222819"/>
    <w:rsid w:val="00226D28"/>
    <w:rsid w:val="00226E61"/>
    <w:rsid w:val="00260D5B"/>
    <w:rsid w:val="00334B40"/>
    <w:rsid w:val="00345B05"/>
    <w:rsid w:val="003C1291"/>
    <w:rsid w:val="004172C7"/>
    <w:rsid w:val="004A124C"/>
    <w:rsid w:val="00551995"/>
    <w:rsid w:val="00576F92"/>
    <w:rsid w:val="006B0771"/>
    <w:rsid w:val="006C1B38"/>
    <w:rsid w:val="007304A1"/>
    <w:rsid w:val="0075134E"/>
    <w:rsid w:val="00A30A5A"/>
    <w:rsid w:val="00A93EF7"/>
    <w:rsid w:val="00B21A0D"/>
    <w:rsid w:val="00BA2778"/>
    <w:rsid w:val="00BD6EB1"/>
    <w:rsid w:val="00BE5613"/>
    <w:rsid w:val="00C51B64"/>
    <w:rsid w:val="00C6408D"/>
    <w:rsid w:val="00C847F7"/>
    <w:rsid w:val="00C92F2A"/>
    <w:rsid w:val="00CA25AE"/>
    <w:rsid w:val="00D86C52"/>
    <w:rsid w:val="00DA2FBE"/>
    <w:rsid w:val="00E16ADC"/>
    <w:rsid w:val="00E26435"/>
    <w:rsid w:val="00E835B5"/>
    <w:rsid w:val="00F51BBF"/>
    <w:rsid w:val="00FC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39C342AE"/>
  <w15:docId w15:val="{9E1A7CDD-2DD0-49FC-A516-7F392C689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54A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E2C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afsnit">
    <w:name w:val="List Paragraph"/>
    <w:basedOn w:val="Normal"/>
    <w:uiPriority w:val="34"/>
    <w:qFormat/>
    <w:pPr>
      <w:ind w:left="720"/>
      <w:contextualSpacing/>
    </w:pPr>
  </w:style>
  <w:style w:type="table" w:styleId="Tabel-Gitter">
    <w:name w:val="Table Grid"/>
    <w:basedOn w:val="Tabel-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genafstand">
    <w:name w:val="No Spacing"/>
    <w:uiPriority w:val="1"/>
    <w:qFormat/>
    <w:pPr>
      <w:spacing w:after="0" w:line="240" w:lineRule="auto"/>
    </w:pPr>
  </w:style>
  <w:style w:type="paragraph" w:styleId="Kommentartekst">
    <w:name w:val="annotation text"/>
    <w:basedOn w:val="Normal"/>
    <w:link w:val="KommentartekstTeg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Pr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Pr>
      <w:sz w:val="16"/>
      <w:szCs w:val="16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A367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A367C"/>
    <w:rPr>
      <w:b/>
      <w:bCs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2216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216D1"/>
  </w:style>
  <w:style w:type="paragraph" w:styleId="Sidefod">
    <w:name w:val="footer"/>
    <w:basedOn w:val="Normal"/>
    <w:link w:val="SidefodTegn"/>
    <w:uiPriority w:val="99"/>
    <w:unhideWhenUsed/>
    <w:rsid w:val="002216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216D1"/>
  </w:style>
  <w:style w:type="paragraph" w:styleId="Korrektur">
    <w:name w:val="Revision"/>
    <w:hidden/>
    <w:uiPriority w:val="99"/>
    <w:semiHidden/>
    <w:rsid w:val="00354AA0"/>
    <w:pPr>
      <w:spacing w:after="0" w:line="240" w:lineRule="auto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354A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k">
    <w:name w:val="Strong"/>
    <w:basedOn w:val="Standardskrifttypeiafsnit"/>
    <w:uiPriority w:val="22"/>
    <w:qFormat/>
    <w:rsid w:val="00354AA0"/>
    <w:rPr>
      <w:b/>
      <w:bCs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E2C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"/>
    <w:rsid w:val="0022732D"/>
    <w:pPr>
      <w:spacing w:after="0" w:line="240" w:lineRule="auto"/>
    </w:pPr>
  </w:style>
  <w:style w:type="character" w:styleId="Hyperlink">
    <w:name w:val="Hyperlink"/>
    <w:basedOn w:val="Standardskrifttypeiafsnit"/>
    <w:uiPriority w:val="99"/>
    <w:unhideWhenUsed/>
    <w:rsid w:val="00FA520C"/>
    <w:rPr>
      <w:color w:val="0563C1" w:themeColor="hyperlink"/>
      <w:u w:val="single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cf01">
    <w:name w:val="cf01"/>
    <w:basedOn w:val="Standardskrifttypeiafsnit"/>
    <w:rsid w:val="00C92F2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5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x.doi.org/10.1016/bs.vh.2022.02.003" TargetMode="External"/><Relationship Id="rId21" Type="http://schemas.openxmlformats.org/officeDocument/2006/relationships/hyperlink" Target="http://paperpile.com/b/YUG0k5/8nnse" TargetMode="External"/><Relationship Id="rId42" Type="http://schemas.openxmlformats.org/officeDocument/2006/relationships/hyperlink" Target="http://paperpile.com/b/YUG0k5/yvTqN" TargetMode="External"/><Relationship Id="rId47" Type="http://schemas.openxmlformats.org/officeDocument/2006/relationships/hyperlink" Target="http://paperpile.com/b/YUG0k5/5ooa8" TargetMode="External"/><Relationship Id="rId63" Type="http://schemas.openxmlformats.org/officeDocument/2006/relationships/hyperlink" Target="https://doi.org/10.1001/jama.2013.280490" TargetMode="External"/><Relationship Id="rId68" Type="http://schemas.openxmlformats.org/officeDocument/2006/relationships/hyperlink" Target="http://paperpile.com/b/YUG0k5/2mDac" TargetMode="External"/><Relationship Id="rId84" Type="http://schemas.openxmlformats.org/officeDocument/2006/relationships/hyperlink" Target="http://dx.doi.org/10.1177/03795721241227114" TargetMode="External"/><Relationship Id="rId89" Type="http://schemas.openxmlformats.org/officeDocument/2006/relationships/hyperlink" Target="http://paperpile.com/b/YUG0k5/ac30A" TargetMode="External"/><Relationship Id="rId16" Type="http://schemas.openxmlformats.org/officeDocument/2006/relationships/hyperlink" Target="http://dx.doi.org/10.1097/00005792-199107000-00001" TargetMode="External"/><Relationship Id="rId107" Type="http://schemas.openxmlformats.org/officeDocument/2006/relationships/footer" Target="footer3.xml"/><Relationship Id="rId11" Type="http://schemas.openxmlformats.org/officeDocument/2006/relationships/hyperlink" Target="http://paperpile.com/b/YUG0k5/O8I4l" TargetMode="External"/><Relationship Id="rId32" Type="http://schemas.openxmlformats.org/officeDocument/2006/relationships/hyperlink" Target="http://dx.doi.org/10.1007/s11920-024-01505-4" TargetMode="External"/><Relationship Id="rId37" Type="http://schemas.openxmlformats.org/officeDocument/2006/relationships/hyperlink" Target="http://paperpile.com/b/YUG0k5/dK0T1" TargetMode="External"/><Relationship Id="rId53" Type="http://schemas.openxmlformats.org/officeDocument/2006/relationships/hyperlink" Target="http://paperpile.com/b/YUG0k5/TzbO6" TargetMode="External"/><Relationship Id="rId58" Type="http://schemas.openxmlformats.org/officeDocument/2006/relationships/hyperlink" Target="http://paperpile.com/b/YUG0k5/YcdYn" TargetMode="External"/><Relationship Id="rId74" Type="http://schemas.openxmlformats.org/officeDocument/2006/relationships/hyperlink" Target="http://paperpile.com/b/YUG0k5/5FHj0" TargetMode="External"/><Relationship Id="rId79" Type="http://schemas.openxmlformats.org/officeDocument/2006/relationships/hyperlink" Target="http://paperpile.com/b/YUG0k5/h0EGU" TargetMode="External"/><Relationship Id="rId102" Type="http://schemas.openxmlformats.org/officeDocument/2006/relationships/header" Target="header1.xml"/><Relationship Id="rId5" Type="http://schemas.openxmlformats.org/officeDocument/2006/relationships/numbering" Target="numbering.xml"/><Relationship Id="rId90" Type="http://schemas.openxmlformats.org/officeDocument/2006/relationships/hyperlink" Target="http://paperpile.com/b/YUG0k5/ac30A" TargetMode="External"/><Relationship Id="rId95" Type="http://schemas.openxmlformats.org/officeDocument/2006/relationships/hyperlink" Target="http://dx.doi.org/10.1186/s40064-016-2252-z" TargetMode="External"/><Relationship Id="rId22" Type="http://schemas.openxmlformats.org/officeDocument/2006/relationships/hyperlink" Target="http://dx.doi.org/10.26442/00403660.2019.04.000116" TargetMode="External"/><Relationship Id="rId27" Type="http://schemas.openxmlformats.org/officeDocument/2006/relationships/hyperlink" Target="http://paperpile.com/b/YUG0k5/ksI44" TargetMode="External"/><Relationship Id="rId43" Type="http://schemas.openxmlformats.org/officeDocument/2006/relationships/hyperlink" Target="http://paperpile.com/b/YUG0k5/yvTqN" TargetMode="External"/><Relationship Id="rId48" Type="http://schemas.openxmlformats.org/officeDocument/2006/relationships/hyperlink" Target="http://paperpile.com/b/YUG0k5/5ooa8" TargetMode="External"/><Relationship Id="rId64" Type="http://schemas.openxmlformats.org/officeDocument/2006/relationships/hyperlink" Target="http://paperpile.com/b/YUG0k5/2mDac" TargetMode="External"/><Relationship Id="rId69" Type="http://schemas.openxmlformats.org/officeDocument/2006/relationships/hyperlink" Target="http://dx.doi.org/10.2174/1573399818666220418080959" TargetMode="External"/><Relationship Id="rId80" Type="http://schemas.openxmlformats.org/officeDocument/2006/relationships/hyperlink" Target="https://pro.medicin.dk/Medicin/Praeparater/7910" TargetMode="External"/><Relationship Id="rId85" Type="http://schemas.openxmlformats.org/officeDocument/2006/relationships/hyperlink" Target="http://paperpile.com/b/YUG0k5/vDatN" TargetMode="External"/><Relationship Id="rId12" Type="http://schemas.openxmlformats.org/officeDocument/2006/relationships/hyperlink" Target="http://paperpile.com/b/YUG0k5/O8I4l" TargetMode="External"/><Relationship Id="rId17" Type="http://schemas.openxmlformats.org/officeDocument/2006/relationships/hyperlink" Target="http://paperpile.com/b/YUG0k5/8nnse" TargetMode="External"/><Relationship Id="rId33" Type="http://schemas.openxmlformats.org/officeDocument/2006/relationships/hyperlink" Target="http://paperpile.com/b/YUG0k5/dK0T1" TargetMode="External"/><Relationship Id="rId38" Type="http://schemas.openxmlformats.org/officeDocument/2006/relationships/hyperlink" Target="http://dx.doi.org/10.1056/NEJM198806303182604" TargetMode="External"/><Relationship Id="rId59" Type="http://schemas.openxmlformats.org/officeDocument/2006/relationships/hyperlink" Target="http://paperpile.com/b/YUG0k5/YcdYn" TargetMode="External"/><Relationship Id="rId103" Type="http://schemas.openxmlformats.org/officeDocument/2006/relationships/header" Target="header2.xml"/><Relationship Id="rId108" Type="http://schemas.openxmlformats.org/officeDocument/2006/relationships/fontTable" Target="fontTable.xml"/><Relationship Id="rId54" Type="http://schemas.openxmlformats.org/officeDocument/2006/relationships/hyperlink" Target="http://paperpile.com/b/YUG0k5/TzbO6" TargetMode="External"/><Relationship Id="rId70" Type="http://schemas.openxmlformats.org/officeDocument/2006/relationships/hyperlink" Target="http://paperpile.com/b/YUG0k5/5FHj0" TargetMode="External"/><Relationship Id="rId75" Type="http://schemas.openxmlformats.org/officeDocument/2006/relationships/hyperlink" Target="http://dx.doi.org/10.3390/cancers16071310" TargetMode="External"/><Relationship Id="rId91" Type="http://schemas.openxmlformats.org/officeDocument/2006/relationships/hyperlink" Target="http://dx.doi.org/10.1146/annurev.nutr.19.1.357" TargetMode="External"/><Relationship Id="rId96" Type="http://schemas.openxmlformats.org/officeDocument/2006/relationships/hyperlink" Target="http://paperpile.com/b/YUG0k5/Qcho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paperpile.com/b/YUG0k5/O8I4l" TargetMode="External"/><Relationship Id="rId23" Type="http://schemas.openxmlformats.org/officeDocument/2006/relationships/hyperlink" Target="http://paperpile.com/b/YUG0k5/zVT1Q" TargetMode="External"/><Relationship Id="rId28" Type="http://schemas.openxmlformats.org/officeDocument/2006/relationships/hyperlink" Target="http://paperpile.com/b/YUG0k5/ksI44" TargetMode="External"/><Relationship Id="rId36" Type="http://schemas.openxmlformats.org/officeDocument/2006/relationships/hyperlink" Target="http://paperpile.com/b/YUG0k5/dK0T1" TargetMode="External"/><Relationship Id="rId49" Type="http://schemas.openxmlformats.org/officeDocument/2006/relationships/hyperlink" Target="http://paperpile.com/b/YUG0k5/5ooa8" TargetMode="External"/><Relationship Id="rId57" Type="http://schemas.openxmlformats.org/officeDocument/2006/relationships/hyperlink" Target="http://paperpile.com/b/YUG0k5/YcdYn" TargetMode="External"/><Relationship Id="rId106" Type="http://schemas.openxmlformats.org/officeDocument/2006/relationships/header" Target="header3.xml"/><Relationship Id="rId10" Type="http://schemas.openxmlformats.org/officeDocument/2006/relationships/endnotes" Target="endnotes.xml"/><Relationship Id="rId31" Type="http://schemas.openxmlformats.org/officeDocument/2006/relationships/hyperlink" Target="http://paperpile.com/b/YUG0k5/ksI44" TargetMode="External"/><Relationship Id="rId44" Type="http://schemas.openxmlformats.org/officeDocument/2006/relationships/hyperlink" Target="http://dx.doi.org/10.1136/bmj-2022-071725" TargetMode="External"/><Relationship Id="rId52" Type="http://schemas.openxmlformats.org/officeDocument/2006/relationships/hyperlink" Target="http://paperpile.com/b/YUG0k5/TzbO6" TargetMode="External"/><Relationship Id="rId60" Type="http://schemas.openxmlformats.org/officeDocument/2006/relationships/hyperlink" Target="http://paperpile.com/b/YUG0k5/YcdYn" TargetMode="External"/><Relationship Id="rId65" Type="http://schemas.openxmlformats.org/officeDocument/2006/relationships/hyperlink" Target="http://paperpile.com/b/YUG0k5/2mDac" TargetMode="External"/><Relationship Id="rId73" Type="http://schemas.openxmlformats.org/officeDocument/2006/relationships/hyperlink" Target="http://paperpile.com/b/YUG0k5/5FHj0" TargetMode="External"/><Relationship Id="rId78" Type="http://schemas.openxmlformats.org/officeDocument/2006/relationships/hyperlink" Target="http://paperpile.com/b/YUG0k5/ypXfN" TargetMode="External"/><Relationship Id="rId81" Type="http://schemas.openxmlformats.org/officeDocument/2006/relationships/hyperlink" Target="http://paperpile.com/b/YUG0k5/wUBV" TargetMode="External"/><Relationship Id="rId86" Type="http://schemas.openxmlformats.org/officeDocument/2006/relationships/hyperlink" Target="http://paperpile.com/b/YUG0k5/vDatN" TargetMode="External"/><Relationship Id="rId94" Type="http://schemas.openxmlformats.org/officeDocument/2006/relationships/hyperlink" Target="http://paperpile.com/b/YUG0k5/Ylzhn" TargetMode="External"/><Relationship Id="rId99" Type="http://schemas.openxmlformats.org/officeDocument/2006/relationships/hyperlink" Target="http://dx.doi.org/10.1016/S0002-8223(99)00174-1" TargetMode="External"/><Relationship Id="rId101" Type="http://schemas.openxmlformats.org/officeDocument/2006/relationships/hyperlink" Target="https://www.sundhed.dk/sundhedsfaglig/information-til-praksis/nordjylland/almen-praksis/patientbehandling/patientforloeb/forloebsbeskrivelser/t-endokrinologi-metabolik-ernaering/fedmekirurgi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paperpile.com/b/YUG0k5/O8I4l" TargetMode="External"/><Relationship Id="rId18" Type="http://schemas.openxmlformats.org/officeDocument/2006/relationships/hyperlink" Target="http://paperpile.com/b/YUG0k5/8nnse" TargetMode="External"/><Relationship Id="rId39" Type="http://schemas.openxmlformats.org/officeDocument/2006/relationships/hyperlink" Target="http://paperpile.com/b/YUG0k5/yvTqN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://paperpile.com/b/YUG0k5/dK0T1" TargetMode="External"/><Relationship Id="rId50" Type="http://schemas.openxmlformats.org/officeDocument/2006/relationships/hyperlink" Target="http://dx.doi.org/10.1038/s41467-021-24051-6" TargetMode="External"/><Relationship Id="rId55" Type="http://schemas.openxmlformats.org/officeDocument/2006/relationships/hyperlink" Target="http://paperpile.com/b/YUG0k5/TzbO6" TargetMode="External"/><Relationship Id="rId76" Type="http://schemas.openxmlformats.org/officeDocument/2006/relationships/hyperlink" Target="http://paperpile.com/b/YUG0k5/ypXfN" TargetMode="External"/><Relationship Id="rId97" Type="http://schemas.openxmlformats.org/officeDocument/2006/relationships/hyperlink" Target="http://paperpile.com/b/YUG0k5/Qchoe" TargetMode="External"/><Relationship Id="rId104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://paperpile.com/b/YUG0k5/5FHj0" TargetMode="External"/><Relationship Id="rId92" Type="http://schemas.openxmlformats.org/officeDocument/2006/relationships/hyperlink" Target="http://paperpile.com/b/YUG0k5/Ylzhn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paperpile.com/b/YUG0k5/ksI44" TargetMode="External"/><Relationship Id="rId24" Type="http://schemas.openxmlformats.org/officeDocument/2006/relationships/hyperlink" Target="http://paperpile.com/b/YUG0k5/zVT1Q" TargetMode="External"/><Relationship Id="rId40" Type="http://schemas.openxmlformats.org/officeDocument/2006/relationships/hyperlink" Target="http://paperpile.com/b/YUG0k5/yvTqN" TargetMode="External"/><Relationship Id="rId45" Type="http://schemas.openxmlformats.org/officeDocument/2006/relationships/hyperlink" Target="http://paperpile.com/b/YUG0k5/5ooa8" TargetMode="External"/><Relationship Id="rId66" Type="http://schemas.openxmlformats.org/officeDocument/2006/relationships/hyperlink" Target="http://paperpile.com/b/YUG0k5/2mDac" TargetMode="External"/><Relationship Id="rId87" Type="http://schemas.openxmlformats.org/officeDocument/2006/relationships/hyperlink" Target="http://paperpile.com/b/YUG0k5/vDatN" TargetMode="External"/><Relationship Id="rId61" Type="http://schemas.openxmlformats.org/officeDocument/2006/relationships/hyperlink" Target="http://paperpile.com/b/YUG0k5/YcdYn" TargetMode="External"/><Relationship Id="rId82" Type="http://schemas.openxmlformats.org/officeDocument/2006/relationships/hyperlink" Target="http://paperpile.com/b/YUG0k5/wUBV" TargetMode="External"/><Relationship Id="rId19" Type="http://schemas.openxmlformats.org/officeDocument/2006/relationships/hyperlink" Target="http://paperpile.com/b/YUG0k5/8nnse" TargetMode="External"/><Relationship Id="rId14" Type="http://schemas.openxmlformats.org/officeDocument/2006/relationships/hyperlink" Target="http://paperpile.com/b/YUG0k5/O8I4l" TargetMode="External"/><Relationship Id="rId30" Type="http://schemas.openxmlformats.org/officeDocument/2006/relationships/hyperlink" Target="http://paperpile.com/b/YUG0k5/ksI44" TargetMode="External"/><Relationship Id="rId35" Type="http://schemas.openxmlformats.org/officeDocument/2006/relationships/hyperlink" Target="http://paperpile.com/b/YUG0k5/dK0T1" TargetMode="External"/><Relationship Id="rId56" Type="http://schemas.openxmlformats.org/officeDocument/2006/relationships/hyperlink" Target="http://dx.doi.org/10.1016/j.mayocpiqo.2019.03.002" TargetMode="External"/><Relationship Id="rId77" Type="http://schemas.openxmlformats.org/officeDocument/2006/relationships/hyperlink" Target="http://paperpile.com/b/YUG0k5/ypXfN" TargetMode="External"/><Relationship Id="rId100" Type="http://schemas.openxmlformats.org/officeDocument/2006/relationships/hyperlink" Target="http://paperpile.com/b/YUG0k5/HIlD0" TargetMode="External"/><Relationship Id="rId105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http://paperpile.com/b/YUG0k5/TzbO6" TargetMode="External"/><Relationship Id="rId72" Type="http://schemas.openxmlformats.org/officeDocument/2006/relationships/hyperlink" Target="http://paperpile.com/b/YUG0k5/5FHj0" TargetMode="External"/><Relationship Id="rId93" Type="http://schemas.openxmlformats.org/officeDocument/2006/relationships/hyperlink" Target="http://paperpile.com/b/YUG0k5/Ylzhn" TargetMode="External"/><Relationship Id="rId98" Type="http://schemas.openxmlformats.org/officeDocument/2006/relationships/hyperlink" Target="http://paperpile.com/b/YUG0k5/Qchoe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://paperpile.com/b/YUG0k5/zVT1Q" TargetMode="External"/><Relationship Id="rId46" Type="http://schemas.openxmlformats.org/officeDocument/2006/relationships/hyperlink" Target="http://paperpile.com/b/YUG0k5/5ooa8" TargetMode="External"/><Relationship Id="rId67" Type="http://schemas.openxmlformats.org/officeDocument/2006/relationships/hyperlink" Target="http://paperpile.com/b/YUG0k5/2mDac" TargetMode="External"/><Relationship Id="rId20" Type="http://schemas.openxmlformats.org/officeDocument/2006/relationships/hyperlink" Target="http://paperpile.com/b/YUG0k5/8nnse" TargetMode="External"/><Relationship Id="rId41" Type="http://schemas.openxmlformats.org/officeDocument/2006/relationships/hyperlink" Target="http://paperpile.com/b/YUG0k5/yvTqN" TargetMode="External"/><Relationship Id="rId62" Type="http://schemas.openxmlformats.org/officeDocument/2006/relationships/hyperlink" Target="http://dx.doi.org/10.1080/17843286.2021.2015555" TargetMode="External"/><Relationship Id="rId83" Type="http://schemas.openxmlformats.org/officeDocument/2006/relationships/hyperlink" Target="http://paperpile.com/b/YUG0k5/wUBV" TargetMode="External"/><Relationship Id="rId88" Type="http://schemas.openxmlformats.org/officeDocument/2006/relationships/hyperlink" Target="http://paperpile.com/b/YUG0k5/ac30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4DAA5A2068FA40974B9C7413EF5BAB" ma:contentTypeVersion="18" ma:contentTypeDescription="Opret et nyt dokument." ma:contentTypeScope="" ma:versionID="f44d1aa0bc52dc8f69f6699040f1c356">
  <xsd:schema xmlns:xsd="http://www.w3.org/2001/XMLSchema" xmlns:xs="http://www.w3.org/2001/XMLSchema" xmlns:p="http://schemas.microsoft.com/office/2006/metadata/properties" xmlns:ns2="e7ea2637-cb69-4d32-acaf-9fa97e91f580" xmlns:ns3="dca065b5-1cf3-4f86-a01a-67a8409c3bf9" targetNamespace="http://schemas.microsoft.com/office/2006/metadata/properties" ma:root="true" ma:fieldsID="ecb981703ffdd9b287277366621b17a7" ns2:_="" ns3:_="">
    <xsd:import namespace="e7ea2637-cb69-4d32-acaf-9fa97e91f580"/>
    <xsd:import namespace="dca065b5-1cf3-4f86-a01a-67a8409c3b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ea2637-cb69-4d32-acaf-9fa97e91f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537a6b21-1115-4564-bf7e-867e79a63e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065b5-1cf3-4f86-a01a-67a8409c3bf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3ac5ed0-349c-40f8-b07a-9920c39f7ab6}" ma:internalName="TaxCatchAll" ma:showField="CatchAllData" ma:web="dca065b5-1cf3-4f86-a01a-67a8409c3b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jQEOJXMLhT2tMH7Cm2NCOGsXwA==">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a065b5-1cf3-4f86-a01a-67a8409c3bf9" xsi:nil="true"/>
    <lcf76f155ced4ddcb4097134ff3c332f xmlns="e7ea2637-cb69-4d32-acaf-9fa97e91f58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D25F36-8C21-4617-91DD-192A0E3DCB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ea2637-cb69-4d32-acaf-9fa97e91f580"/>
    <ds:schemaRef ds:uri="dca065b5-1cf3-4f86-a01a-67a8409c3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379482F-A383-440E-9CCC-DE14A80D9B11}">
  <ds:schemaRefs>
    <ds:schemaRef ds:uri="http://schemas.microsoft.com/office/2006/metadata/properties"/>
    <ds:schemaRef ds:uri="http://schemas.microsoft.com/office/infopath/2007/PartnerControls"/>
    <ds:schemaRef ds:uri="dca065b5-1cf3-4f86-a01a-67a8409c3bf9"/>
    <ds:schemaRef ds:uri="e7ea2637-cb69-4d32-acaf-9fa97e91f580"/>
  </ds:schemaRefs>
</ds:datastoreItem>
</file>

<file path=customXml/itemProps4.xml><?xml version="1.0" encoding="utf-8"?>
<ds:datastoreItem xmlns:ds="http://schemas.openxmlformats.org/officeDocument/2006/customXml" ds:itemID="{C970F3F7-2224-4754-BFE6-588B3218CB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2710</Words>
  <Characters>16538</Characters>
  <Application>Microsoft Office Word</Application>
  <DocSecurity>0</DocSecurity>
  <Lines>137</Lines>
  <Paragraphs>38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Jørgen Peter Ærthøj</dc:creator>
  <cp:lastModifiedBy>Anette Sonne Nielsen</cp:lastModifiedBy>
  <cp:revision>3</cp:revision>
  <dcterms:created xsi:type="dcterms:W3CDTF">2024-12-12T13:11:00Z</dcterms:created>
  <dcterms:modified xsi:type="dcterms:W3CDTF">2024-12-12T13:13:00Z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0x010100DF4DAA5A2068FA40974B9C7413EF5BAB</vt:lpwstr>
  </property>
  <property fmtid="{D5CDD505-2E9C-101B-9397-08002B2CF9AE}" pid="3" name="MediaServiceImageTags">
    <vt:lpwstr/>
  </property>
  <property fmtid="{D5CDD505-2E9C-101B-9397-08002B2CF9AE}" pid="4" name="ContentRemapped">
    <vt:lpwstr>true</vt:lpwstr>
  </property>
</Properties>
</file>